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B70" w:rsidRDefault="00462CCB">
      <w:pPr>
        <w:spacing w:after="0" w:line="240" w:lineRule="auto"/>
        <w:rPr>
          <w:b/>
          <w:sz w:val="22"/>
          <w:szCs w:val="22"/>
        </w:rPr>
      </w:pPr>
      <w:r>
        <w:rPr>
          <w:noProof/>
        </w:rPr>
        <mc:AlternateContent>
          <mc:Choice Requires="wps">
            <w:drawing>
              <wp:anchor distT="0" distB="0" distL="114300" distR="114300" simplePos="0" relativeHeight="251661312" behindDoc="0" locked="0" layoutInCell="1" hidden="0" allowOverlap="1">
                <wp:simplePos x="0" y="0"/>
                <wp:positionH relativeFrom="column">
                  <wp:posOffset>723900</wp:posOffset>
                </wp:positionH>
                <wp:positionV relativeFrom="paragraph">
                  <wp:posOffset>8507185</wp:posOffset>
                </wp:positionV>
                <wp:extent cx="2270125" cy="538843"/>
                <wp:effectExtent l="0" t="0" r="15875" b="13970"/>
                <wp:wrapNone/>
                <wp:docPr id="12" name="Rectangle 12"/>
                <wp:cNvGraphicFramePr/>
                <a:graphic xmlns:a="http://schemas.openxmlformats.org/drawingml/2006/main">
                  <a:graphicData uri="http://schemas.microsoft.com/office/word/2010/wordprocessingShape">
                    <wps:wsp>
                      <wps:cNvSpPr/>
                      <wps:spPr>
                        <a:xfrm>
                          <a:off x="0" y="0"/>
                          <a:ext cx="2270125" cy="538843"/>
                        </a:xfrm>
                        <a:prstGeom prst="rect">
                          <a:avLst/>
                        </a:prstGeom>
                        <a:noFill/>
                        <a:ln>
                          <a:noFill/>
                        </a:ln>
                      </wps:spPr>
                      <wps:txbx>
                        <w:txbxContent>
                          <w:p w:rsidR="00D67CA6" w:rsidRDefault="00462CCB">
                            <w:pPr>
                              <w:spacing w:after="160" w:line="258" w:lineRule="auto"/>
                              <w:textDirection w:val="btLr"/>
                              <w:rPr>
                                <w:color w:val="595959"/>
                                <w:sz w:val="20"/>
                              </w:rPr>
                            </w:pPr>
                            <w:r w:rsidRPr="00462CCB">
                              <w:rPr>
                                <w:color w:val="595959"/>
                                <w:sz w:val="20"/>
                              </w:rPr>
                              <w:t>www.ul.com</w:t>
                            </w:r>
                          </w:p>
                          <w:p w:rsidR="00462CCB" w:rsidRPr="00462CCB" w:rsidRDefault="00462CCB">
                            <w:pPr>
                              <w:spacing w:after="160" w:line="258" w:lineRule="auto"/>
                              <w:textDirection w:val="btLr"/>
                              <w:rPr>
                                <w:color w:val="595959"/>
                                <w:sz w:val="16"/>
                                <w:szCs w:val="14"/>
                              </w:rPr>
                            </w:pPr>
                            <w:r w:rsidRPr="00462CCB">
                              <w:rPr>
                                <w:color w:val="595959"/>
                                <w:sz w:val="16"/>
                                <w:szCs w:val="14"/>
                              </w:rPr>
                              <w:t>© UL LLC 2020</w:t>
                            </w:r>
                          </w:p>
                          <w:p w:rsidR="00462CCB" w:rsidRDefault="00462CCB">
                            <w:pPr>
                              <w:spacing w:after="160" w:line="258" w:lineRule="auto"/>
                              <w:textDirection w:val="btLr"/>
                            </w:pPr>
                            <w:r>
                              <w:rPr>
                                <w:color w:val="595959"/>
                                <w:sz w:val="20"/>
                              </w:rPr>
                              <w:t>©</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57pt;margin-top:669.85pt;width:178.75pt;height:4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" filled="f" stroked="f">
                <v:textbox inset="0,0,0,0">
                  <w:txbxContent>
                    <w:p w:rsidR="00D67CA6" w:rsidRDefault="00462CCB">
                      <w:pPr>
                        <w:spacing w:after="160" w:line="258" w:lineRule="auto"/>
                        <w:textDirection w:val="btLr"/>
                        <w:rPr>
                          <w:color w:val="595959"/>
                          <w:sz w:val="20"/>
                        </w:rPr>
                      </w:pPr>
                      <w:r w:rsidRPr="00462CCB">
                        <w:rPr>
                          <w:color w:val="595959"/>
                          <w:sz w:val="20"/>
                        </w:rPr>
                        <w:t>www.ul.com</w:t>
                      </w:r>
                    </w:p>
                    <w:p w:rsidR="00462CCB" w:rsidRPr="00462CCB" w:rsidRDefault="00462CCB">
                      <w:pPr>
                        <w:spacing w:after="160" w:line="258" w:lineRule="auto"/>
                        <w:textDirection w:val="btLr"/>
                        <w:rPr>
                          <w:color w:val="595959"/>
                          <w:sz w:val="16"/>
                          <w:szCs w:val="14"/>
                        </w:rPr>
                      </w:pPr>
                      <w:r w:rsidRPr="00462CCB">
                        <w:rPr>
                          <w:color w:val="595959"/>
                          <w:sz w:val="16"/>
                          <w:szCs w:val="14"/>
                        </w:rPr>
                        <w:t>© UL LLC 2020</w:t>
                      </w:r>
                    </w:p>
                    <w:p w:rsidR="00462CCB" w:rsidRDefault="00462CCB">
                      <w:pPr>
                        <w:spacing w:after="160" w:line="258" w:lineRule="auto"/>
                        <w:textDirection w:val="btLr"/>
                      </w:pPr>
                      <w:r>
                        <w:rPr>
                          <w:color w:val="595959"/>
                          <w:sz w:val="20"/>
                        </w:rPr>
                        <w:t>©</w:t>
                      </w:r>
                    </w:p>
                  </w:txbxContent>
                </v:textbox>
              </v:rect>
            </w:pict>
          </mc:Fallback>
        </mc:AlternateContent>
      </w:r>
      <w:r w:rsidR="00D67CA6">
        <w:t xml:space="preserve">   </w:t>
      </w:r>
      <w:r w:rsidR="00D67CA6">
        <w:rPr>
          <w:rFonts w:ascii="Times New Roman" w:eastAsia="Times New Roman" w:hAnsi="Times New Roman" w:cs="Times New Roman"/>
          <w:color w:val="000000"/>
          <w:sz w:val="2"/>
          <w:szCs w:val="2"/>
          <w:highlight w:val="black"/>
        </w:rPr>
        <w:t xml:space="preserve"> </w:t>
      </w:r>
      <w:r w:rsidR="00D67CA6">
        <w:br w:type="page"/>
      </w:r>
      <w:r w:rsidR="00D67CA6">
        <w:rPr>
          <w:noProof/>
        </w:rPr>
        <w:drawing>
          <wp:anchor distT="0" distB="0" distL="114300" distR="114300" simplePos="0" relativeHeight="251658240" behindDoc="0" locked="0" layoutInCell="1" hidden="0" allowOverlap="1">
            <wp:simplePos x="0" y="0"/>
            <wp:positionH relativeFrom="column">
              <wp:posOffset>-761996</wp:posOffset>
            </wp:positionH>
            <wp:positionV relativeFrom="paragraph">
              <wp:posOffset>-761997</wp:posOffset>
            </wp:positionV>
            <wp:extent cx="7940040" cy="5353050"/>
            <wp:effectExtent l="0" t="0" r="0" b="0"/>
            <wp:wrapSquare wrapText="bothSides" distT="0" distB="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5459" b="24811"/>
                    <a:stretch>
                      <a:fillRect/>
                    </a:stretch>
                  </pic:blipFill>
                  <pic:spPr>
                    <a:xfrm>
                      <a:off x="0" y="0"/>
                      <a:ext cx="7940040" cy="5353050"/>
                    </a:xfrm>
                    <a:prstGeom prst="rect">
                      <a:avLst/>
                    </a:prstGeom>
                    <a:ln/>
                  </pic:spPr>
                </pic:pic>
              </a:graphicData>
            </a:graphic>
          </wp:anchor>
        </w:drawing>
      </w:r>
      <w:r w:rsidR="00D67CA6">
        <w:rPr>
          <w:noProof/>
        </w:rPr>
        <w:drawing>
          <wp:anchor distT="0" distB="0" distL="114300" distR="114300" simplePos="0" relativeHeight="251659264" behindDoc="0" locked="0" layoutInCell="1" hidden="0" allowOverlap="1">
            <wp:simplePos x="0" y="0"/>
            <wp:positionH relativeFrom="column">
              <wp:posOffset>-400046</wp:posOffset>
            </wp:positionH>
            <wp:positionV relativeFrom="paragraph">
              <wp:posOffset>5019675</wp:posOffset>
            </wp:positionV>
            <wp:extent cx="7407910" cy="1339850"/>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407910" cy="1339850"/>
                    </a:xfrm>
                    <a:prstGeom prst="rect">
                      <a:avLst/>
                    </a:prstGeom>
                    <a:ln/>
                  </pic:spPr>
                </pic:pic>
              </a:graphicData>
            </a:graphic>
          </wp:anchor>
        </w:drawing>
      </w:r>
      <w:r w:rsidR="00D67CA6">
        <w:rPr>
          <w:noProof/>
        </w:rPr>
        <mc:AlternateContent>
          <mc:Choice Requires="wps">
            <w:drawing>
              <wp:anchor distT="0" distB="0" distL="114300" distR="114300" simplePos="0" relativeHeight="251660288" behindDoc="0" locked="0" layoutInCell="1" hidden="0" allowOverlap="1">
                <wp:simplePos x="0" y="0"/>
                <wp:positionH relativeFrom="column">
                  <wp:posOffset>723900</wp:posOffset>
                </wp:positionH>
                <wp:positionV relativeFrom="paragraph">
                  <wp:posOffset>6718300</wp:posOffset>
                </wp:positionV>
                <wp:extent cx="3533775" cy="1590675"/>
                <wp:effectExtent l="0" t="0" r="0" b="0"/>
                <wp:wrapNone/>
                <wp:docPr id="3" name="Rectangle 3"/>
                <wp:cNvGraphicFramePr/>
                <a:graphic xmlns:a="http://schemas.openxmlformats.org/drawingml/2006/main">
                  <a:graphicData uri="http://schemas.microsoft.com/office/word/2010/wordprocessingShape">
                    <wps:wsp>
                      <wps:cNvSpPr/>
                      <wps:spPr>
                        <a:xfrm>
                          <a:off x="3593400" y="2998950"/>
                          <a:ext cx="3505200" cy="1562100"/>
                        </a:xfrm>
                        <a:prstGeom prst="rect">
                          <a:avLst/>
                        </a:prstGeom>
                        <a:noFill/>
                        <a:ln>
                          <a:noFill/>
                        </a:ln>
                      </wps:spPr>
                      <wps:txbx>
                        <w:txbxContent>
                          <w:p w:rsidR="00D67CA6" w:rsidRDefault="00D67CA6">
                            <w:pPr>
                              <w:spacing w:after="160" w:line="258" w:lineRule="auto"/>
                              <w:textDirection w:val="btLr"/>
                            </w:pPr>
                            <w:r>
                              <w:rPr>
                                <w:b/>
                                <w:color w:val="595959"/>
                                <w:sz w:val="40"/>
                              </w:rPr>
                              <w:t>Part B: Commercial Steel Doors and Steel Frame EPD Requirements</w:t>
                            </w:r>
                          </w:p>
                        </w:txbxContent>
                      </wps:txbx>
                      <wps:bodyPr spcFirstLastPara="1" wrap="square" lIns="0" tIns="0" rIns="0" bIns="0" anchor="t" anchorCtr="0">
                        <a:noAutofit/>
                      </wps:bodyPr>
                    </wps:wsp>
                  </a:graphicData>
                </a:graphic>
              </wp:anchor>
            </w:drawing>
          </mc:Choice>
          <mc:Fallback>
            <w:pict>
              <v:rect id="Rectangle 3" o:spid="_x0000_s1027" style="position:absolute;margin-left:57pt;margin-top:529pt;width:278.25pt;height:12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" filled="f" stroked="f">
                <v:textbox inset="0,0,0,0">
                  <w:txbxContent>
                    <w:p w:rsidR="00D67CA6" w:rsidRDefault="00D67CA6">
                      <w:pPr>
                        <w:spacing w:after="160" w:line="258" w:lineRule="auto"/>
                        <w:textDirection w:val="btLr"/>
                      </w:pPr>
                      <w:r>
                        <w:rPr>
                          <w:b/>
                          <w:color w:val="595959"/>
                          <w:sz w:val="40"/>
                        </w:rPr>
                        <w:t>Part B: Commercial Steel Doors and Steel Frame EPD Requirements</w:t>
                      </w:r>
                    </w:p>
                  </w:txbxContent>
                </v:textbox>
              </v:rect>
            </w:pict>
          </mc:Fallback>
        </mc:AlternateContent>
      </w:r>
      <w:bookmarkStart w:id="0" w:name="_gjdgxs" w:colFirst="0" w:colLast="0"/>
      <w:bookmarkEnd w:id="0"/>
    </w:p>
    <w:p w:rsidR="001F1B70" w:rsidRDefault="00D67CA6">
      <w:pPr>
        <w:widowControl w:val="0"/>
        <w:pBdr>
          <w:top w:val="nil"/>
          <w:left w:val="nil"/>
          <w:bottom w:val="nil"/>
          <w:right w:val="nil"/>
          <w:between w:val="nil"/>
        </w:pBdr>
        <w:spacing w:after="0" w:line="276" w:lineRule="auto"/>
      </w:pPr>
      <w:r>
        <w:rPr>
          <w:b/>
          <w:sz w:val="20"/>
          <w:szCs w:val="20"/>
        </w:rPr>
        <w:lastRenderedPageBreak/>
        <w:t>Publisher:</w:t>
      </w:r>
    </w:p>
    <w:p w:rsidR="001F1B70" w:rsidRDefault="00D67CA6">
      <w:pPr>
        <w:spacing w:after="0"/>
        <w:ind w:left="-5" w:right="4748"/>
        <w:rPr>
          <w:sz w:val="20"/>
          <w:szCs w:val="20"/>
        </w:rPr>
      </w:pPr>
      <w:r>
        <w:rPr>
          <w:sz w:val="20"/>
          <w:szCs w:val="20"/>
        </w:rPr>
        <w:t>UL Environment</w:t>
      </w:r>
    </w:p>
    <w:p w:rsidR="001F1B70" w:rsidRDefault="001F1B70">
      <w:pPr>
        <w:spacing w:after="0"/>
        <w:ind w:left="-5" w:right="4748"/>
      </w:pPr>
    </w:p>
    <w:p w:rsidR="001F1B70" w:rsidRDefault="00D67CA6">
      <w:pPr>
        <w:spacing w:after="0" w:line="259" w:lineRule="auto"/>
        <w:ind w:left="-5"/>
      </w:pPr>
      <w:r>
        <w:rPr>
          <w:b/>
          <w:sz w:val="20"/>
          <w:szCs w:val="20"/>
        </w:rPr>
        <w:t>Tracking of versions</w:t>
      </w:r>
    </w:p>
    <w:tbl>
      <w:tblPr>
        <w:tblStyle w:val="a"/>
        <w:tblW w:w="9090" w:type="dxa"/>
        <w:tblInd w:w="1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30"/>
        <w:gridCol w:w="4075"/>
        <w:gridCol w:w="3485"/>
      </w:tblGrid>
      <w:tr w:rsidR="001F1B70">
        <w:trPr>
          <w:trHeight w:val="400"/>
        </w:trPr>
        <w:tc>
          <w:tcPr>
            <w:tcW w:w="1530" w:type="dxa"/>
            <w:tcBorders>
              <w:top w:val="single" w:sz="8" w:space="0" w:color="000000"/>
              <w:left w:val="single" w:sz="8" w:space="0" w:color="000000"/>
              <w:bottom w:val="single" w:sz="8" w:space="0" w:color="000000"/>
              <w:right w:val="nil"/>
            </w:tcBorders>
            <w:shd w:val="clear" w:color="auto" w:fill="000000"/>
          </w:tcPr>
          <w:p w:rsidR="001F1B70" w:rsidRDefault="00D67CA6">
            <w:pPr>
              <w:spacing w:line="259" w:lineRule="auto"/>
            </w:pPr>
            <w:r>
              <w:rPr>
                <w:color w:val="FFFFFF"/>
                <w:sz w:val="20"/>
                <w:szCs w:val="20"/>
              </w:rPr>
              <w:t>Version</w:t>
            </w:r>
          </w:p>
        </w:tc>
        <w:tc>
          <w:tcPr>
            <w:tcW w:w="4075" w:type="dxa"/>
            <w:tcBorders>
              <w:top w:val="single" w:sz="8" w:space="0" w:color="000000"/>
              <w:left w:val="nil"/>
              <w:bottom w:val="single" w:sz="8" w:space="0" w:color="000000"/>
              <w:right w:val="nil"/>
            </w:tcBorders>
            <w:shd w:val="clear" w:color="auto" w:fill="000000"/>
          </w:tcPr>
          <w:p w:rsidR="001F1B70" w:rsidRDefault="00D67CA6">
            <w:pPr>
              <w:spacing w:line="259" w:lineRule="auto"/>
              <w:ind w:left="5"/>
            </w:pPr>
            <w:r>
              <w:rPr>
                <w:color w:val="FFFFFF"/>
                <w:sz w:val="20"/>
                <w:szCs w:val="20"/>
              </w:rPr>
              <w:t>Comments</w:t>
            </w:r>
          </w:p>
        </w:tc>
        <w:tc>
          <w:tcPr>
            <w:tcW w:w="3485" w:type="dxa"/>
            <w:tcBorders>
              <w:top w:val="single" w:sz="8" w:space="0" w:color="000000"/>
              <w:left w:val="nil"/>
              <w:bottom w:val="single" w:sz="8" w:space="0" w:color="000000"/>
              <w:right w:val="single" w:sz="8" w:space="0" w:color="000000"/>
            </w:tcBorders>
            <w:shd w:val="clear" w:color="auto" w:fill="000000"/>
          </w:tcPr>
          <w:p w:rsidR="001F1B70" w:rsidRDefault="00D67CA6">
            <w:pPr>
              <w:spacing w:line="259" w:lineRule="auto"/>
            </w:pPr>
            <w:r>
              <w:rPr>
                <w:color w:val="FFFFFF"/>
                <w:sz w:val="20"/>
                <w:szCs w:val="20"/>
              </w:rPr>
              <w:t>History</w:t>
            </w:r>
          </w:p>
        </w:tc>
      </w:tr>
      <w:tr w:rsidR="001F1B70">
        <w:trPr>
          <w:trHeight w:val="400"/>
        </w:trPr>
        <w:tc>
          <w:tcPr>
            <w:tcW w:w="1530" w:type="dxa"/>
            <w:tcBorders>
              <w:top w:val="single" w:sz="8" w:space="0" w:color="000000"/>
              <w:left w:val="single" w:sz="8" w:space="0" w:color="000000"/>
              <w:bottom w:val="single" w:sz="8" w:space="0" w:color="000000"/>
              <w:right w:val="single" w:sz="8" w:space="0" w:color="000000"/>
            </w:tcBorders>
            <w:vAlign w:val="center"/>
          </w:tcPr>
          <w:p w:rsidR="001F1B70" w:rsidRDefault="00D67CA6">
            <w:r>
              <w:rPr>
                <w:b/>
              </w:rPr>
              <w:t xml:space="preserve">1.0 </w:t>
            </w:r>
          </w:p>
        </w:tc>
        <w:tc>
          <w:tcPr>
            <w:tcW w:w="4075" w:type="dxa"/>
            <w:tcBorders>
              <w:top w:val="single" w:sz="8" w:space="0" w:color="000000"/>
              <w:left w:val="single" w:sz="8" w:space="0" w:color="000000"/>
              <w:bottom w:val="single" w:sz="8" w:space="0" w:color="000000"/>
              <w:right w:val="single" w:sz="8" w:space="0" w:color="000000"/>
            </w:tcBorders>
            <w:vAlign w:val="center"/>
          </w:tcPr>
          <w:p w:rsidR="001F1B70" w:rsidRDefault="00D67CA6">
            <w:pPr>
              <w:ind w:left="5"/>
            </w:pPr>
            <w:r>
              <w:t>UL Environment with input from a committee</w:t>
            </w:r>
          </w:p>
        </w:tc>
        <w:tc>
          <w:tcPr>
            <w:tcW w:w="3485" w:type="dxa"/>
            <w:tcBorders>
              <w:top w:val="single" w:sz="8" w:space="0" w:color="000000"/>
              <w:left w:val="single" w:sz="8" w:space="0" w:color="000000"/>
              <w:bottom w:val="single" w:sz="8" w:space="0" w:color="000000"/>
              <w:right w:val="single" w:sz="8" w:space="0" w:color="000000"/>
            </w:tcBorders>
            <w:vAlign w:val="center"/>
          </w:tcPr>
          <w:p w:rsidR="001F1B70" w:rsidRDefault="00D67CA6">
            <w:pPr>
              <w:jc w:val="center"/>
            </w:pPr>
            <w:r>
              <w:t>March 10, 2015</w:t>
            </w:r>
          </w:p>
        </w:tc>
      </w:tr>
      <w:tr w:rsidR="001F1B70">
        <w:trPr>
          <w:trHeight w:val="400"/>
        </w:trPr>
        <w:tc>
          <w:tcPr>
            <w:tcW w:w="1530" w:type="dxa"/>
            <w:tcBorders>
              <w:top w:val="single" w:sz="8" w:space="0" w:color="000000"/>
              <w:left w:val="single" w:sz="8" w:space="0" w:color="000000"/>
              <w:bottom w:val="single" w:sz="8" w:space="0" w:color="000000"/>
              <w:right w:val="single" w:sz="8" w:space="0" w:color="000000"/>
            </w:tcBorders>
            <w:vAlign w:val="center"/>
          </w:tcPr>
          <w:p w:rsidR="001F1B70" w:rsidRDefault="00D67CA6">
            <w:pPr>
              <w:rPr>
                <w:b/>
              </w:rPr>
            </w:pPr>
            <w:r>
              <w:rPr>
                <w:b/>
              </w:rPr>
              <w:t>2.0</w:t>
            </w:r>
          </w:p>
        </w:tc>
        <w:tc>
          <w:tcPr>
            <w:tcW w:w="4075" w:type="dxa"/>
            <w:tcBorders>
              <w:top w:val="single" w:sz="8" w:space="0" w:color="000000"/>
              <w:left w:val="single" w:sz="8" w:space="0" w:color="000000"/>
              <w:bottom w:val="single" w:sz="8" w:space="0" w:color="000000"/>
              <w:right w:val="single" w:sz="8" w:space="0" w:color="000000"/>
            </w:tcBorders>
            <w:vAlign w:val="center"/>
          </w:tcPr>
          <w:p w:rsidR="001F1B70" w:rsidRDefault="00D67CA6">
            <w:pPr>
              <w:ind w:left="5"/>
            </w:pPr>
            <w:r>
              <w:t>UL Environment with input from a committee</w:t>
            </w:r>
          </w:p>
        </w:tc>
        <w:tc>
          <w:tcPr>
            <w:tcW w:w="3485" w:type="dxa"/>
            <w:tcBorders>
              <w:top w:val="single" w:sz="8" w:space="0" w:color="000000"/>
              <w:left w:val="single" w:sz="8" w:space="0" w:color="000000"/>
              <w:bottom w:val="single" w:sz="8" w:space="0" w:color="000000"/>
              <w:right w:val="single" w:sz="8" w:space="0" w:color="000000"/>
            </w:tcBorders>
            <w:vAlign w:val="center"/>
          </w:tcPr>
          <w:p w:rsidR="001F1B70" w:rsidRDefault="00811E40">
            <w:pPr>
              <w:jc w:val="center"/>
            </w:pPr>
            <w:r>
              <w:t>x</w:t>
            </w:r>
            <w:r w:rsidR="00D67CA6">
              <w:t>xxx, 2020</w:t>
            </w:r>
          </w:p>
        </w:tc>
      </w:tr>
    </w:tbl>
    <w:p w:rsidR="001F1B70" w:rsidRDefault="00D67CA6">
      <w:pPr>
        <w:spacing w:after="230"/>
        <w:ind w:left="-5"/>
        <w:rPr>
          <w:sz w:val="16"/>
          <w:szCs w:val="16"/>
        </w:rPr>
      </w:pPr>
      <w:r>
        <w:rPr>
          <w:sz w:val="16"/>
          <w:szCs w:val="16"/>
        </w:rPr>
        <w:t>© UL Environment</w:t>
      </w:r>
    </w:p>
    <w:p w:rsidR="001F1B70" w:rsidRDefault="001F1B70">
      <w:pPr>
        <w:spacing w:after="230"/>
        <w:ind w:left="-5"/>
      </w:pPr>
    </w:p>
    <w:p w:rsidR="001F1B70" w:rsidRDefault="00D67CA6">
      <w:pPr>
        <w:pStyle w:val="Heading1"/>
        <w:numPr>
          <w:ilvl w:val="0"/>
          <w:numId w:val="16"/>
        </w:numPr>
      </w:pPr>
      <w:r>
        <w:t>Background Information and Acknowledgements</w:t>
      </w:r>
    </w:p>
    <w:p w:rsidR="001F1B70" w:rsidRDefault="00D67CA6">
      <w:r>
        <w:t>These sub-category Product Category Rules (PCR) were developed to address the rules for the creation of Environmental Product Declarations (EPD) for Commercial Steel Doors and/or Steel Frames. When used to self-reference this document, “PCR” refers to “sub-category PCR.” This PCR is intended for creation of business-to-business (B2B) EPDs.</w:t>
      </w:r>
    </w:p>
    <w:p w:rsidR="001F1B70" w:rsidRDefault="00D67CA6">
      <w:pPr>
        <w:ind w:right="-22"/>
      </w:pPr>
      <w:r>
        <w:t xml:space="preserve">This PCR is consistent with and conforms with the mandatory requirements contained within the following normative references: </w:t>
      </w:r>
    </w:p>
    <w:p w:rsidR="001F1B70" w:rsidRDefault="00D67CA6">
      <w:pPr>
        <w:numPr>
          <w:ilvl w:val="0"/>
          <w:numId w:val="7"/>
        </w:numPr>
        <w:spacing w:after="0"/>
      </w:pPr>
      <w:r>
        <w:t>ISO 21930:2017 - Sustainability in buildings and civil engineering works — Core rules for environmental product declarations of construction products and services</w:t>
      </w:r>
    </w:p>
    <w:p w:rsidR="001F1B70" w:rsidRDefault="00D67CA6">
      <w:pPr>
        <w:numPr>
          <w:ilvl w:val="0"/>
          <w:numId w:val="7"/>
        </w:numPr>
        <w:pBdr>
          <w:top w:val="nil"/>
          <w:left w:val="nil"/>
          <w:bottom w:val="nil"/>
          <w:right w:val="nil"/>
          <w:between w:val="nil"/>
        </w:pBdr>
        <w:spacing w:after="0"/>
        <w:rPr>
          <w:color w:val="000000"/>
        </w:rPr>
      </w:pPr>
      <w:r>
        <w:rPr>
          <w:color w:val="000000"/>
        </w:rPr>
        <w:t>EN 15804:2012+A1:2013 - Sustainability of construction works. Environmental product declarations. Core rules for the product category of construction products</w:t>
      </w:r>
    </w:p>
    <w:p w:rsidR="001F1B70" w:rsidRDefault="00D67CA6">
      <w:pPr>
        <w:numPr>
          <w:ilvl w:val="0"/>
          <w:numId w:val="7"/>
        </w:numPr>
        <w:pBdr>
          <w:top w:val="nil"/>
          <w:left w:val="nil"/>
          <w:bottom w:val="nil"/>
          <w:right w:val="nil"/>
          <w:between w:val="nil"/>
        </w:pBdr>
        <w:spacing w:after="0"/>
      </w:pPr>
      <w:r>
        <w:rPr>
          <w:color w:val="000000"/>
        </w:rPr>
        <w:t>P</w:t>
      </w:r>
      <w:r>
        <w:t>art A: Life Cycle Assessment Calculation Rules and Report Requirements UL Environment (December 2018, version 3.2)</w:t>
      </w:r>
    </w:p>
    <w:p w:rsidR="001F1B70" w:rsidRDefault="00D67CA6">
      <w:pPr>
        <w:numPr>
          <w:ilvl w:val="0"/>
          <w:numId w:val="7"/>
        </w:numPr>
        <w:pBdr>
          <w:top w:val="nil"/>
          <w:left w:val="nil"/>
          <w:bottom w:val="nil"/>
          <w:right w:val="nil"/>
          <w:between w:val="nil"/>
        </w:pBdr>
        <w:spacing w:after="0"/>
      </w:pPr>
      <w:r>
        <w:t>ISO 14025: 2006, Environmental labeling and declarations – Type III environmental declarations – Principles and procedures.</w:t>
      </w:r>
    </w:p>
    <w:p w:rsidR="001F1B70" w:rsidRDefault="00D67CA6">
      <w:pPr>
        <w:numPr>
          <w:ilvl w:val="0"/>
          <w:numId w:val="7"/>
        </w:numPr>
        <w:pBdr>
          <w:top w:val="nil"/>
          <w:left w:val="nil"/>
          <w:bottom w:val="nil"/>
          <w:right w:val="nil"/>
          <w:between w:val="nil"/>
        </w:pBdr>
        <w:spacing w:after="0"/>
      </w:pPr>
      <w:r>
        <w:t xml:space="preserve">ISO 14044: 2006, Environmental management — Life cycle assessment —Requirements and guidelines. </w:t>
      </w:r>
    </w:p>
    <w:p w:rsidR="001F1B70" w:rsidRDefault="00D67CA6">
      <w:pPr>
        <w:numPr>
          <w:ilvl w:val="0"/>
          <w:numId w:val="7"/>
        </w:numPr>
        <w:pBdr>
          <w:top w:val="nil"/>
          <w:left w:val="nil"/>
          <w:bottom w:val="nil"/>
          <w:right w:val="nil"/>
          <w:between w:val="nil"/>
        </w:pBdr>
        <w:spacing w:after="0"/>
      </w:pPr>
      <w:r>
        <w:t xml:space="preserve">ISO 14040: 2006, Environmental management – Life cycle assessment –Principles and framework. </w:t>
      </w:r>
    </w:p>
    <w:p w:rsidR="001F1B70" w:rsidRDefault="001F1B70">
      <w:pPr>
        <w:pBdr>
          <w:top w:val="nil"/>
          <w:left w:val="nil"/>
          <w:bottom w:val="nil"/>
          <w:right w:val="nil"/>
          <w:between w:val="nil"/>
        </w:pBdr>
        <w:spacing w:after="0"/>
        <w:ind w:left="360"/>
        <w:rPr>
          <w:color w:val="000000"/>
        </w:rPr>
      </w:pPr>
    </w:p>
    <w:p w:rsidR="001F1B70" w:rsidRDefault="001F1B70">
      <w:pPr>
        <w:pBdr>
          <w:top w:val="nil"/>
          <w:left w:val="nil"/>
          <w:bottom w:val="nil"/>
          <w:right w:val="nil"/>
          <w:between w:val="nil"/>
        </w:pBdr>
        <w:spacing w:after="4"/>
        <w:ind w:left="720" w:right="-22"/>
        <w:rPr>
          <w:color w:val="000000"/>
        </w:rPr>
      </w:pPr>
    </w:p>
    <w:p w:rsidR="001F1B70" w:rsidRDefault="00D67CA6">
      <w:pPr>
        <w:ind w:left="-5" w:right="47"/>
      </w:pPr>
      <w:r>
        <w:t>In addition to the above normative references, the following are noted guidance references used in the development of this PCR:</w:t>
      </w:r>
    </w:p>
    <w:p w:rsidR="001F1B70" w:rsidRDefault="00D67CA6">
      <w:pPr>
        <w:numPr>
          <w:ilvl w:val="0"/>
          <w:numId w:val="7"/>
        </w:numPr>
        <w:spacing w:after="0"/>
      </w:pPr>
      <w:r>
        <w:t>Product Category Rules (PCR) for Commercial Steel Doors and/or Steel Frames, UL 9005, March 2015.</w:t>
      </w:r>
    </w:p>
    <w:p w:rsidR="00863088" w:rsidRDefault="00863088">
      <w:pPr>
        <w:numPr>
          <w:ilvl w:val="0"/>
          <w:numId w:val="7"/>
        </w:numPr>
        <w:spacing w:after="0"/>
      </w:pPr>
      <w:r>
        <w:t>Product Category Rules (PCR) for Building-Related Products and Services Part B: Builders’ Hardware. UL 10010-13. November 2019.</w:t>
      </w:r>
    </w:p>
    <w:p w:rsidR="001F1B70" w:rsidRDefault="00D67CA6">
      <w:pPr>
        <w:numPr>
          <w:ilvl w:val="0"/>
          <w:numId w:val="7"/>
        </w:numPr>
        <w:spacing w:after="0"/>
      </w:pPr>
      <w:r>
        <w:t xml:space="preserve">PCR Guidance-Texts for Building-Related Products and Services, From the range of Environmental Product Declarations of Institute Construction and Environment e.V. (IBU), Part B Requirements on the EPD for Automatic Doors, Automatic Gates, and Revolving Door Systems. </w:t>
      </w:r>
      <w:r w:rsidR="00863088">
        <w:t xml:space="preserve">V1.1. September </w:t>
      </w:r>
      <w:r>
        <w:t>201</w:t>
      </w:r>
      <w:r w:rsidR="00863088">
        <w:t>3</w:t>
      </w:r>
      <w:r>
        <w:t>.</w:t>
      </w:r>
    </w:p>
    <w:p w:rsidR="001F1B70" w:rsidRDefault="00D67CA6">
      <w:pPr>
        <w:numPr>
          <w:ilvl w:val="0"/>
          <w:numId w:val="7"/>
        </w:numPr>
        <w:spacing w:after="0"/>
      </w:pPr>
      <w:r>
        <w:t xml:space="preserve">PCR Guidance-Texts for Building-Related Products and Services, From the range of Environmental Product Declarations of Institute Construction and Environment e.V. (IBU), Part B: Requirements on the EPD for Windows and Doors v1.1. </w:t>
      </w:r>
      <w:r w:rsidR="00863088">
        <w:t xml:space="preserve">November </w:t>
      </w:r>
      <w:r>
        <w:t>201</w:t>
      </w:r>
      <w:r w:rsidR="00863088">
        <w:t>8</w:t>
      </w:r>
      <w:r>
        <w:t>.</w:t>
      </w:r>
    </w:p>
    <w:p w:rsidR="001F1B70" w:rsidRDefault="001F1B70">
      <w:pPr>
        <w:spacing w:after="0"/>
        <w:ind w:left="720"/>
      </w:pPr>
    </w:p>
    <w:p w:rsidR="001F1B70" w:rsidRDefault="00D67CA6">
      <w:pPr>
        <w:ind w:left="-5" w:right="47"/>
        <w:rPr>
          <w:u w:val="single"/>
        </w:rPr>
      </w:pPr>
      <w:r>
        <w:rPr>
          <w:u w:val="single"/>
        </w:rPr>
        <w:t>Period of Validity</w:t>
      </w:r>
    </w:p>
    <w:p w:rsidR="001F1B70" w:rsidRDefault="00D67CA6">
      <w:pPr>
        <w:spacing w:after="230"/>
        <w:ind w:left="-5"/>
        <w:rPr>
          <w:u w:val="single"/>
        </w:rPr>
      </w:pPr>
      <w:r>
        <w:t>This PCR is valid for a period of fi</w:t>
      </w:r>
      <w:bookmarkStart w:id="1" w:name="_GoBack"/>
      <w:bookmarkEnd w:id="1"/>
      <w:r>
        <w:t xml:space="preserve">ve (5) years, set to expire in xxxxxx, 2025. </w:t>
      </w:r>
    </w:p>
    <w:p w:rsidR="001F1B70" w:rsidRDefault="00D67CA6">
      <w:pPr>
        <w:rPr>
          <w:u w:val="single"/>
        </w:rPr>
      </w:pPr>
      <w:r>
        <w:rPr>
          <w:u w:val="single"/>
        </w:rPr>
        <w:t>Interested Parties</w:t>
      </w:r>
    </w:p>
    <w:p w:rsidR="001F1B70" w:rsidRDefault="00D67CA6">
      <w:r>
        <w:t>This Part B has been prepared with input from the following stakeholders:</w:t>
      </w:r>
    </w:p>
    <w:p w:rsidR="00D67CA6" w:rsidRPr="00D67CA6" w:rsidRDefault="00D67CA6">
      <w:pPr>
        <w:numPr>
          <w:ilvl w:val="0"/>
          <w:numId w:val="10"/>
        </w:numPr>
        <w:pBdr>
          <w:top w:val="nil"/>
          <w:left w:val="nil"/>
          <w:bottom w:val="nil"/>
          <w:right w:val="nil"/>
          <w:between w:val="nil"/>
        </w:pBdr>
        <w:spacing w:after="0" w:line="240" w:lineRule="auto"/>
        <w:ind w:left="540"/>
      </w:pPr>
      <w:r>
        <w:rPr>
          <w:color w:val="000000"/>
        </w:rPr>
        <w:t>Assa Abloy</w:t>
      </w:r>
    </w:p>
    <w:p w:rsidR="00D67CA6" w:rsidRPr="00D67CA6" w:rsidRDefault="00D67CA6">
      <w:pPr>
        <w:numPr>
          <w:ilvl w:val="0"/>
          <w:numId w:val="10"/>
        </w:numPr>
        <w:pBdr>
          <w:top w:val="nil"/>
          <w:left w:val="nil"/>
          <w:bottom w:val="nil"/>
          <w:right w:val="nil"/>
          <w:between w:val="nil"/>
        </w:pBdr>
        <w:spacing w:after="0" w:line="240" w:lineRule="auto"/>
        <w:ind w:left="540"/>
      </w:pPr>
      <w:r>
        <w:rPr>
          <w:color w:val="000000"/>
        </w:rPr>
        <w:t>Kellen Company</w:t>
      </w:r>
    </w:p>
    <w:p w:rsidR="00D67CA6" w:rsidRPr="00D67CA6" w:rsidRDefault="00D67CA6">
      <w:pPr>
        <w:numPr>
          <w:ilvl w:val="0"/>
          <w:numId w:val="10"/>
        </w:numPr>
        <w:pBdr>
          <w:top w:val="nil"/>
          <w:left w:val="nil"/>
          <w:bottom w:val="nil"/>
          <w:right w:val="nil"/>
          <w:between w:val="nil"/>
        </w:pBdr>
        <w:spacing w:after="0" w:line="240" w:lineRule="auto"/>
        <w:ind w:left="540"/>
      </w:pPr>
      <w:r>
        <w:lastRenderedPageBreak/>
        <w:t>Metal Products Incorporated</w:t>
      </w:r>
    </w:p>
    <w:p w:rsidR="00D67CA6" w:rsidRPr="00D67CA6" w:rsidRDefault="00D67CA6">
      <w:pPr>
        <w:numPr>
          <w:ilvl w:val="0"/>
          <w:numId w:val="10"/>
        </w:numPr>
        <w:pBdr>
          <w:top w:val="nil"/>
          <w:left w:val="nil"/>
          <w:bottom w:val="nil"/>
          <w:right w:val="nil"/>
          <w:between w:val="nil"/>
        </w:pBdr>
        <w:spacing w:after="0" w:line="240" w:lineRule="auto"/>
        <w:ind w:left="540"/>
      </w:pPr>
      <w:r>
        <w:rPr>
          <w:color w:val="000000"/>
        </w:rPr>
        <w:t>Steel Craft</w:t>
      </w:r>
    </w:p>
    <w:p w:rsidR="00D67CA6" w:rsidRPr="00D67CA6" w:rsidRDefault="00D67CA6">
      <w:pPr>
        <w:numPr>
          <w:ilvl w:val="0"/>
          <w:numId w:val="10"/>
        </w:numPr>
        <w:pBdr>
          <w:top w:val="nil"/>
          <w:left w:val="nil"/>
          <w:bottom w:val="nil"/>
          <w:right w:val="nil"/>
          <w:between w:val="nil"/>
        </w:pBdr>
        <w:spacing w:after="0" w:line="240" w:lineRule="auto"/>
        <w:ind w:left="540"/>
      </w:pPr>
      <w:r>
        <w:rPr>
          <w:color w:val="000000"/>
        </w:rPr>
        <w:t>Steven Winter Associates</w:t>
      </w:r>
    </w:p>
    <w:p w:rsidR="00D67CA6" w:rsidRDefault="00D67CA6" w:rsidP="00D67CA6">
      <w:pPr>
        <w:pBdr>
          <w:top w:val="nil"/>
          <w:left w:val="nil"/>
          <w:bottom w:val="nil"/>
          <w:right w:val="nil"/>
          <w:between w:val="nil"/>
        </w:pBdr>
        <w:spacing w:after="0" w:line="240" w:lineRule="auto"/>
        <w:ind w:left="540"/>
      </w:pPr>
    </w:p>
    <w:p w:rsidR="001F1B70" w:rsidRDefault="001F1B70">
      <w:pPr>
        <w:pBdr>
          <w:top w:val="nil"/>
          <w:left w:val="nil"/>
          <w:bottom w:val="nil"/>
          <w:right w:val="nil"/>
          <w:between w:val="nil"/>
        </w:pBdr>
        <w:spacing w:after="0" w:line="240" w:lineRule="auto"/>
        <w:ind w:left="1080"/>
      </w:pPr>
    </w:p>
    <w:p w:rsidR="001F1B70" w:rsidRDefault="00D67CA6">
      <w:pPr>
        <w:spacing w:after="0" w:line="240" w:lineRule="auto"/>
        <w:rPr>
          <w:color w:val="000000"/>
          <w:u w:val="single"/>
        </w:rPr>
      </w:pPr>
      <w:r>
        <w:rPr>
          <w:color w:val="000000"/>
          <w:u w:val="single"/>
        </w:rPr>
        <w:t>Governance</w:t>
      </w:r>
    </w:p>
    <w:p w:rsidR="001F1B70" w:rsidRDefault="001F1B70">
      <w:pPr>
        <w:spacing w:after="0" w:line="240" w:lineRule="auto"/>
      </w:pPr>
    </w:p>
    <w:p w:rsidR="001F1B70" w:rsidRDefault="00D67CA6">
      <w:r>
        <w:t xml:space="preserve">There are a number of trade associations and representatives of steel door and frame manufacturers participating in the update of this Product Category Rule (“PCR”) for commercial steel door and/or steel frames. These parties represent a majority of the companies within the steel door and frame industry. Moreover, the parties with </w:t>
      </w:r>
      <w:r w:rsidR="00811E40">
        <w:t>a manufacturing</w:t>
      </w:r>
      <w:r>
        <w:t xml:space="preserve"> interest participating in the PCR update represent the vast majority of commercial steel doors and frames sold in North America. The very purpose and function of a trade association is to inform its members of important industry developments and to represent their interests in projects such as the update of a PCR affecting their products. This is important because it effectively demonstrates that a large percentage of the commercial steel door and steel frame industry is represented in the effort to renew this PCR.</w:t>
      </w:r>
    </w:p>
    <w:p w:rsidR="001F1B70" w:rsidRDefault="00D67CA6">
      <w:r>
        <w:t>The role of participants is to establish requirements and procedures to be applied in the development of EPDs for commercial steel door and/or steel frames. This is an update to an existing PCR, and therefore, this effort begins with the vetting of suggested changes in scope and structure. Where potential conflicts exist, ISO 14025:2006 and ISO 21930:2017 shall apply.</w:t>
      </w:r>
    </w:p>
    <w:p w:rsidR="001F1B70" w:rsidRDefault="00D67CA6">
      <w:pPr>
        <w:spacing w:after="0" w:line="240" w:lineRule="auto"/>
        <w:rPr>
          <w:u w:val="single"/>
        </w:rPr>
      </w:pPr>
      <w:r>
        <w:rPr>
          <w:u w:val="single"/>
        </w:rPr>
        <w:t>Involvement of Interested Parties</w:t>
      </w:r>
    </w:p>
    <w:p w:rsidR="001F1B70" w:rsidRDefault="00D67CA6">
      <w:pPr>
        <w:pBdr>
          <w:top w:val="nil"/>
          <w:left w:val="nil"/>
          <w:bottom w:val="nil"/>
          <w:right w:val="nil"/>
          <w:between w:val="nil"/>
        </w:pBdr>
        <w:spacing w:before="100" w:after="100" w:line="240" w:lineRule="auto"/>
        <w:rPr>
          <w:color w:val="000000"/>
        </w:rPr>
      </w:pPr>
      <w:r>
        <w:t>UL Environment is</w:t>
      </w:r>
      <w:r>
        <w:rPr>
          <w:color w:val="000000"/>
        </w:rPr>
        <w:t xml:space="preserve"> responsible for producing the PCR document by establishing an open consultation process that includes the involvement of interested parties </w:t>
      </w:r>
      <w:r>
        <w:t>and</w:t>
      </w:r>
      <w:r>
        <w:rPr>
          <w:color w:val="000000"/>
        </w:rPr>
        <w:t xml:space="preserve"> “</w:t>
      </w:r>
      <w:r>
        <w:t>r</w:t>
      </w:r>
      <w:r>
        <w:rPr>
          <w:color w:val="000000"/>
        </w:rPr>
        <w:t>easonable efforts to achieve a consensus throughout the process” have been made (</w:t>
      </w:r>
      <w:r>
        <w:t>ISO 14027, Section 5.2)</w:t>
      </w:r>
      <w:r>
        <w:rPr>
          <w:color w:val="000000"/>
        </w:rPr>
        <w:t xml:space="preserve">. </w:t>
      </w:r>
    </w:p>
    <w:p w:rsidR="001F1B70" w:rsidRDefault="00D67CA6">
      <w:pPr>
        <w:pBdr>
          <w:top w:val="nil"/>
          <w:left w:val="nil"/>
          <w:bottom w:val="nil"/>
          <w:right w:val="nil"/>
          <w:between w:val="nil"/>
        </w:pBdr>
        <w:spacing w:before="100" w:after="100" w:line="240" w:lineRule="auto"/>
        <w:rPr>
          <w:color w:val="000000"/>
        </w:rPr>
      </w:pPr>
      <w:r>
        <w:rPr>
          <w:color w:val="000000"/>
        </w:rPr>
        <w:t>UL Environment posted an open call for participation on this PCR update committee on September 2019 via its standards website, social media outlets, and outreach to original committee stakeholders.</w:t>
      </w:r>
    </w:p>
    <w:p w:rsidR="001F1B70" w:rsidRDefault="001F1B70">
      <w:pPr>
        <w:spacing w:after="0" w:line="240" w:lineRule="auto"/>
        <w:rPr>
          <w:u w:val="single"/>
        </w:rPr>
      </w:pPr>
    </w:p>
    <w:p w:rsidR="001F1B70" w:rsidRDefault="00D67CA6">
      <w:pPr>
        <w:spacing w:after="0" w:line="240" w:lineRule="auto"/>
        <w:rPr>
          <w:u w:val="single"/>
        </w:rPr>
      </w:pPr>
      <w:r>
        <w:rPr>
          <w:u w:val="single"/>
        </w:rPr>
        <w:t>Update Process</w:t>
      </w:r>
    </w:p>
    <w:p w:rsidR="001F1B70" w:rsidRDefault="001F1B70">
      <w:pPr>
        <w:spacing w:after="0" w:line="240" w:lineRule="auto"/>
      </w:pPr>
    </w:p>
    <w:p w:rsidR="001F1B70" w:rsidRDefault="00D67CA6">
      <w:r>
        <w:t>The PCR shall be revised five (5) years from the publication date. The PCR shall be revised before the five year date if the following occurs in the industry: major regulatory change that alters the requirements for commercial steel doors and steel frames; major shift in the markets such that a new material or system predominates that can no longer be characterized adequately by the definitions in this PCR.</w:t>
      </w:r>
    </w:p>
    <w:p w:rsidR="001F1B70" w:rsidRDefault="00D67CA6">
      <w:pPr>
        <w:spacing w:after="0" w:line="240" w:lineRule="auto"/>
      </w:pPr>
      <w:r>
        <w:rPr>
          <w:u w:val="single"/>
        </w:rPr>
        <w:t>Review</w:t>
      </w:r>
    </w:p>
    <w:p w:rsidR="001F1B70" w:rsidRDefault="00D67CA6">
      <w:pPr>
        <w:spacing w:after="0" w:line="240" w:lineRule="auto"/>
      </w:pPr>
      <w:r>
        <w:t>The review process of this Part B PCR included a review through public consultation from xxxxxxx 2020 - xxxxxxxxx 2020 and a panel review.</w:t>
      </w:r>
    </w:p>
    <w:p w:rsidR="001F1B70" w:rsidRDefault="001F1B70">
      <w:pPr>
        <w:spacing w:after="0" w:line="240" w:lineRule="auto"/>
      </w:pPr>
    </w:p>
    <w:p w:rsidR="001F1B70" w:rsidRDefault="00D67CA6">
      <w:pPr>
        <w:spacing w:after="0" w:line="240" w:lineRule="auto"/>
      </w:pPr>
      <w:r>
        <w:t xml:space="preserve">This Part B was reviewed by the following panel: </w:t>
      </w:r>
    </w:p>
    <w:p w:rsidR="001F1B70" w:rsidRDefault="001F1B70">
      <w:pPr>
        <w:spacing w:after="0" w:line="240" w:lineRule="auto"/>
      </w:pPr>
    </w:p>
    <w:tbl>
      <w:tblPr>
        <w:tblStyle w:val="a0"/>
        <w:tblW w:w="9627" w:type="dxa"/>
        <w:tblBorders>
          <w:top w:val="nil"/>
          <w:left w:val="nil"/>
          <w:bottom w:val="nil"/>
          <w:right w:val="nil"/>
          <w:insideH w:val="nil"/>
          <w:insideV w:val="nil"/>
        </w:tblBorders>
        <w:tblLayout w:type="fixed"/>
        <w:tblLook w:val="0400" w:firstRow="0" w:lastRow="0" w:firstColumn="0" w:lastColumn="0" w:noHBand="0" w:noVBand="1"/>
      </w:tblPr>
      <w:tblGrid>
        <w:gridCol w:w="3209"/>
        <w:gridCol w:w="3209"/>
        <w:gridCol w:w="3209"/>
      </w:tblGrid>
      <w:tr w:rsidR="001F1B70">
        <w:trPr>
          <w:trHeight w:val="780"/>
        </w:trPr>
        <w:tc>
          <w:tcPr>
            <w:tcW w:w="3209" w:type="dxa"/>
          </w:tcPr>
          <w:p w:rsidR="001F1B70" w:rsidRDefault="00D67CA6">
            <w:pPr>
              <w:rPr>
                <w:sz w:val="18"/>
                <w:szCs w:val="18"/>
              </w:rPr>
            </w:pPr>
            <w:r>
              <w:rPr>
                <w:sz w:val="18"/>
                <w:szCs w:val="18"/>
              </w:rPr>
              <w:t>TBD</w:t>
            </w:r>
          </w:p>
        </w:tc>
        <w:tc>
          <w:tcPr>
            <w:tcW w:w="3209" w:type="dxa"/>
          </w:tcPr>
          <w:p w:rsidR="001F1B70" w:rsidRDefault="00D67CA6">
            <w:pPr>
              <w:rPr>
                <w:sz w:val="18"/>
                <w:szCs w:val="18"/>
              </w:rPr>
            </w:pPr>
            <w:r>
              <w:rPr>
                <w:sz w:val="18"/>
                <w:szCs w:val="18"/>
              </w:rPr>
              <w:t>TBD</w:t>
            </w:r>
          </w:p>
        </w:tc>
        <w:tc>
          <w:tcPr>
            <w:tcW w:w="3209" w:type="dxa"/>
          </w:tcPr>
          <w:p w:rsidR="001F1B70" w:rsidRDefault="00D67CA6">
            <w:pPr>
              <w:rPr>
                <w:sz w:val="18"/>
                <w:szCs w:val="18"/>
              </w:rPr>
            </w:pPr>
            <w:r>
              <w:rPr>
                <w:sz w:val="18"/>
                <w:szCs w:val="18"/>
              </w:rPr>
              <w:t>TBD</w:t>
            </w:r>
          </w:p>
        </w:tc>
      </w:tr>
    </w:tbl>
    <w:p w:rsidR="001F1B70" w:rsidRDefault="00D67CA6">
      <w:pPr>
        <w:spacing w:after="0" w:line="240" w:lineRule="auto"/>
        <w:rPr>
          <w:u w:val="single"/>
        </w:rPr>
      </w:pPr>
      <w:r>
        <w:rPr>
          <w:u w:val="single"/>
        </w:rPr>
        <w:t>Public Consultation</w:t>
      </w:r>
    </w:p>
    <w:p w:rsidR="001F1B70" w:rsidRDefault="001F1B70">
      <w:pPr>
        <w:spacing w:after="0" w:line="240" w:lineRule="auto"/>
        <w:rPr>
          <w:u w:val="single"/>
        </w:rPr>
      </w:pPr>
    </w:p>
    <w:p w:rsidR="001F1B70" w:rsidRDefault="00D67CA6">
      <w:pPr>
        <w:spacing w:after="0" w:line="240" w:lineRule="auto"/>
      </w:pPr>
      <w:r>
        <w:t>Public consultation was utilized during the PCR review process. The public consultation of the completed draft PCR included a minimum 30-calendar-day period for comments to be submitted to UL Environment. After public comments were submitted, the PCR committee reviewed and developed responses for all comments. All comments from the review panel and public consultation were addressed and satisfactorily resolved by the PCR committee prior to the publication of this PCR.</w:t>
      </w:r>
    </w:p>
    <w:p w:rsidR="001F1B70" w:rsidRDefault="001F1B70">
      <w:pPr>
        <w:spacing w:after="0" w:line="240" w:lineRule="auto"/>
        <w:rPr>
          <w:sz w:val="20"/>
          <w:szCs w:val="20"/>
        </w:rPr>
      </w:pPr>
    </w:p>
    <w:p w:rsidR="001F1B70" w:rsidRDefault="001F1B70">
      <w:pPr>
        <w:spacing w:after="0" w:line="240" w:lineRule="auto"/>
      </w:pPr>
    </w:p>
    <w:p w:rsidR="001F1B70" w:rsidRDefault="00D67CA6">
      <w:pPr>
        <w:pStyle w:val="Heading1"/>
        <w:numPr>
          <w:ilvl w:val="0"/>
          <w:numId w:val="16"/>
        </w:numPr>
      </w:pPr>
      <w:r>
        <w:t>Terms and Definitions</w:t>
      </w:r>
    </w:p>
    <w:p w:rsidR="001F1B70" w:rsidRDefault="00D67CA6">
      <w:r>
        <w:t xml:space="preserve">For the purposes of this document, the definitions given in ISO 6707-1, ISO 14025, ISO 14044, ISO 14050, ISO 15686-1, ISO 21930 and the following apply. </w:t>
      </w:r>
    </w:p>
    <w:p w:rsidR="001F1B70" w:rsidRDefault="00D67CA6">
      <w:pPr>
        <w:rPr>
          <w:b/>
          <w:smallCaps/>
        </w:rPr>
      </w:pPr>
      <w:r>
        <w:rPr>
          <w:b/>
          <w:smallCaps/>
        </w:rPr>
        <w:t>Allocation</w:t>
      </w:r>
    </w:p>
    <w:p w:rsidR="001F1B70" w:rsidRDefault="00D67CA6">
      <w:r>
        <w:lastRenderedPageBreak/>
        <w:t xml:space="preserve">Partitioning the environmental flows (input and output flows) of a process or a product system between the product system under study and one or more other product systems (adapted from ISO 14044). </w:t>
      </w:r>
    </w:p>
    <w:p w:rsidR="001F1B70" w:rsidRDefault="00D67CA6">
      <w:pPr>
        <w:rPr>
          <w:b/>
          <w:smallCaps/>
        </w:rPr>
      </w:pPr>
      <w:r>
        <w:rPr>
          <w:b/>
          <w:smallCaps/>
        </w:rPr>
        <w:t>Ancillary material</w:t>
      </w:r>
    </w:p>
    <w:p w:rsidR="001F1B70" w:rsidRDefault="00D67CA6">
      <w:r>
        <w:t xml:space="preserve">Material input that is used by the unit process producing the product or during the construction or use </w:t>
      </w:r>
      <w:r w:rsidR="00811E40">
        <w:t>stage but</w:t>
      </w:r>
      <w:r>
        <w:t xml:space="preserve"> does not constitute part of the product (adapted from ISO 14044). </w:t>
      </w:r>
    </w:p>
    <w:p w:rsidR="001F1B70" w:rsidRDefault="00D67CA6">
      <w:pPr>
        <w:rPr>
          <w:b/>
          <w:smallCaps/>
        </w:rPr>
      </w:pPr>
      <w:r>
        <w:rPr>
          <w:b/>
          <w:smallCaps/>
        </w:rPr>
        <w:t>Building product</w:t>
      </w:r>
    </w:p>
    <w:p w:rsidR="001F1B70" w:rsidRDefault="00D67CA6">
      <w:r>
        <w:t xml:space="preserve">Item used during the life cycle of a building or any other type of construction works (adapted from ISO 6707-1 and ISO 14021). </w:t>
      </w:r>
    </w:p>
    <w:p w:rsidR="001F1B70" w:rsidRDefault="00D67CA6">
      <w:pPr>
        <w:rPr>
          <w:b/>
          <w:smallCaps/>
        </w:rPr>
      </w:pPr>
      <w:r>
        <w:rPr>
          <w:b/>
          <w:smallCaps/>
        </w:rPr>
        <w:t xml:space="preserve">Characterization factor </w:t>
      </w:r>
    </w:p>
    <w:p w:rsidR="001F1B70" w:rsidRDefault="00D67CA6">
      <w:r>
        <w:t>Factor derived from a characterization model which is applied to convert an assigned life-cycle inventory analysis (</w:t>
      </w:r>
      <w:r w:rsidR="00811E40">
        <w:t>LCI) to</w:t>
      </w:r>
      <w:r>
        <w:t xml:space="preserve"> the common unit of the impact category indicator (adapted from ISO 21930). </w:t>
      </w:r>
    </w:p>
    <w:p w:rsidR="001F1B70" w:rsidRDefault="00D67CA6">
      <w:pPr>
        <w:rPr>
          <w:b/>
          <w:smallCaps/>
        </w:rPr>
      </w:pPr>
      <w:r>
        <w:rPr>
          <w:b/>
          <w:smallCaps/>
        </w:rPr>
        <w:t xml:space="preserve">Cut-off criteria  </w:t>
      </w:r>
    </w:p>
    <w:p w:rsidR="001F1B70" w:rsidRDefault="00D67CA6">
      <w:r>
        <w:t xml:space="preserve">Specification of the amount of material or energy flow or the level of environmental significance associated with unit processes of a product system to be excluded from </w:t>
      </w:r>
      <w:r w:rsidR="00811E40">
        <w:t>an</w:t>
      </w:r>
      <w:r>
        <w:t xml:space="preserve"> LCA study (adapted from ISO 14044). </w:t>
      </w:r>
    </w:p>
    <w:p w:rsidR="001F1B70" w:rsidRDefault="00D67CA6">
      <w:pPr>
        <w:rPr>
          <w:b/>
          <w:smallCaps/>
        </w:rPr>
      </w:pPr>
      <w:r>
        <w:rPr>
          <w:b/>
          <w:smallCaps/>
        </w:rPr>
        <w:t xml:space="preserve">Declared unit </w:t>
      </w:r>
    </w:p>
    <w:p w:rsidR="001F1B70" w:rsidRDefault="00D67CA6">
      <w:r>
        <w:t xml:space="preserve">Quantity of a building product for use as a reference unit, e.g. mass (kilogram), volume (cubic </w:t>
      </w:r>
      <w:r w:rsidR="00811E40">
        <w:t>meter</w:t>
      </w:r>
      <w:r>
        <w:t xml:space="preserve">), for the expression of environmental information needed in information modules. Note: The declared unit is used in instances where the function and the reference scenario for the whole life cycle of a building product cannot be stated (adapted from ISO 21930). </w:t>
      </w:r>
    </w:p>
    <w:p w:rsidR="001F1B70" w:rsidRDefault="00D67CA6">
      <w:pPr>
        <w:rPr>
          <w:b/>
          <w:smallCaps/>
        </w:rPr>
      </w:pPr>
      <w:r>
        <w:rPr>
          <w:b/>
          <w:smallCaps/>
        </w:rPr>
        <w:t xml:space="preserve">Environmental declaration/label </w:t>
      </w:r>
    </w:p>
    <w:p w:rsidR="001F1B70" w:rsidRDefault="00D67CA6">
      <w:r>
        <w:t xml:space="preserve">A claim that indicates the environmental aspects of a product (adapted from ISO 14020:2000). </w:t>
      </w:r>
    </w:p>
    <w:p w:rsidR="001F1B70" w:rsidRDefault="00D67CA6">
      <w:pPr>
        <w:rPr>
          <w:b/>
          <w:smallCaps/>
        </w:rPr>
      </w:pPr>
      <w:r>
        <w:rPr>
          <w:b/>
          <w:smallCaps/>
        </w:rPr>
        <w:t xml:space="preserve">Feedstock energy  </w:t>
      </w:r>
    </w:p>
    <w:p w:rsidR="001F1B70" w:rsidRDefault="00D67CA6">
      <w:r>
        <w:t xml:space="preserve">Heat of combustion of a material input that is not used as an energy source to a product system, expressed in terms of lower heater value (net calorific value) (adapted from ISO 14044). </w:t>
      </w:r>
    </w:p>
    <w:p w:rsidR="001F1B70" w:rsidRDefault="00D67CA6">
      <w:pPr>
        <w:rPr>
          <w:b/>
          <w:smallCaps/>
        </w:rPr>
      </w:pPr>
      <w:r>
        <w:rPr>
          <w:b/>
          <w:smallCaps/>
        </w:rPr>
        <w:t xml:space="preserve">Function </w:t>
      </w:r>
    </w:p>
    <w:p w:rsidR="001F1B70" w:rsidRDefault="00D67CA6">
      <w:r>
        <w:t xml:space="preserve">Purpose for which a building product is designed, used or required to be used (adapted from ISO 15686-10). </w:t>
      </w:r>
    </w:p>
    <w:p w:rsidR="001F1B70" w:rsidRDefault="00D67CA6">
      <w:pPr>
        <w:rPr>
          <w:b/>
          <w:smallCaps/>
        </w:rPr>
      </w:pPr>
      <w:r>
        <w:rPr>
          <w:b/>
          <w:smallCaps/>
        </w:rPr>
        <w:t>Functional unit (FU)</w:t>
      </w:r>
    </w:p>
    <w:p w:rsidR="001F1B70" w:rsidRDefault="00D67CA6">
      <w:r>
        <w:t xml:space="preserve">Quantified performance of a product system for a building product for use as a reference unit (adapted from ISO 14044). </w:t>
      </w:r>
    </w:p>
    <w:p w:rsidR="001F1B70" w:rsidRDefault="00D67CA6">
      <w:pPr>
        <w:rPr>
          <w:b/>
          <w:smallCaps/>
        </w:rPr>
      </w:pPr>
      <w:r>
        <w:rPr>
          <w:b/>
          <w:smallCaps/>
        </w:rPr>
        <w:t xml:space="preserve">Impact category </w:t>
      </w:r>
    </w:p>
    <w:p w:rsidR="001F1B70" w:rsidRDefault="00D67CA6">
      <w:r>
        <w:t xml:space="preserve">A class representing environmental issues of concern to which life cycle inventory analysis results may be assigned (ISO 14044). </w:t>
      </w:r>
    </w:p>
    <w:p w:rsidR="001F1B70" w:rsidRDefault="00D67CA6">
      <w:pPr>
        <w:rPr>
          <w:b/>
          <w:smallCaps/>
        </w:rPr>
      </w:pPr>
      <w:r>
        <w:rPr>
          <w:b/>
          <w:smallCaps/>
        </w:rPr>
        <w:t xml:space="preserve">Impact category indicator </w:t>
      </w:r>
    </w:p>
    <w:p w:rsidR="001F1B70" w:rsidRDefault="00D67CA6">
      <w:r>
        <w:t xml:space="preserve">A quantifiable representation of an impact category (ISO 14044). </w:t>
      </w:r>
    </w:p>
    <w:p w:rsidR="001F1B70" w:rsidRDefault="00D67CA6">
      <w:pPr>
        <w:rPr>
          <w:b/>
          <w:smallCaps/>
        </w:rPr>
      </w:pPr>
      <w:r>
        <w:rPr>
          <w:b/>
          <w:smallCaps/>
        </w:rPr>
        <w:t xml:space="preserve">Information module </w:t>
      </w:r>
    </w:p>
    <w:p w:rsidR="001F1B70" w:rsidRDefault="00D67CA6">
      <w:r>
        <w:t xml:space="preserve">Compilation of data to be used as a basis for an EPD covering a unit process or a combination of unit processes that are part of the life cycle of a product (ISO 21930). </w:t>
      </w:r>
    </w:p>
    <w:p w:rsidR="001F1B70" w:rsidRDefault="00D67CA6">
      <w:pPr>
        <w:rPr>
          <w:b/>
          <w:smallCaps/>
        </w:rPr>
      </w:pPr>
      <w:r>
        <w:rPr>
          <w:b/>
          <w:smallCaps/>
        </w:rPr>
        <w:t xml:space="preserve">Interested party </w:t>
      </w:r>
    </w:p>
    <w:p w:rsidR="001F1B70" w:rsidRDefault="00D67CA6">
      <w:r>
        <w:lastRenderedPageBreak/>
        <w:t xml:space="preserve">An individual or group concerned with or affected by the environmental performance of a product system, or by the results of the life cycle assessment (ISO 14044). </w:t>
      </w:r>
    </w:p>
    <w:p w:rsidR="001F1B70" w:rsidRDefault="00D67CA6">
      <w:pPr>
        <w:rPr>
          <w:b/>
          <w:smallCaps/>
        </w:rPr>
      </w:pPr>
      <w:r>
        <w:rPr>
          <w:b/>
          <w:smallCaps/>
        </w:rPr>
        <w:t xml:space="preserve">Life cycle </w:t>
      </w:r>
    </w:p>
    <w:p w:rsidR="001F1B70" w:rsidRDefault="00D67CA6">
      <w:r>
        <w:t xml:space="preserve">Consecutive and interlinked stages related to a product, from raw material acquisition or generation from natural resources to end-of-life (adapted from ISO 14044). </w:t>
      </w:r>
    </w:p>
    <w:p w:rsidR="001F1B70" w:rsidRDefault="00D67CA6">
      <w:pPr>
        <w:rPr>
          <w:b/>
          <w:smallCaps/>
        </w:rPr>
      </w:pPr>
      <w:r>
        <w:rPr>
          <w:b/>
          <w:smallCaps/>
        </w:rPr>
        <w:t xml:space="preserve">Life cycle assessment (LCA) </w:t>
      </w:r>
    </w:p>
    <w:p w:rsidR="001F1B70" w:rsidRDefault="00D67CA6">
      <w:r>
        <w:t xml:space="preserve">Assessment aimed at compiling and evaluating the inputs, outputs and the potential environmental impacts of a product system throughout the life cycle of a product (adapted from ISO 14044). </w:t>
      </w:r>
    </w:p>
    <w:p w:rsidR="001F1B70" w:rsidRDefault="00D67CA6">
      <w:pPr>
        <w:rPr>
          <w:b/>
          <w:smallCaps/>
        </w:rPr>
      </w:pPr>
      <w:r>
        <w:rPr>
          <w:b/>
          <w:smallCaps/>
        </w:rPr>
        <w:t xml:space="preserve">Life cycle inventory analysis (LCI) </w:t>
      </w:r>
    </w:p>
    <w:p w:rsidR="001F1B70" w:rsidRDefault="00D67CA6">
      <w:r>
        <w:t xml:space="preserve">Phase of LCA involving the compilation and quantification of input and output flows for a product throughout its life cycle (ISO 14044). </w:t>
      </w:r>
    </w:p>
    <w:p w:rsidR="001F1B70" w:rsidRDefault="00D67CA6">
      <w:r>
        <w:t>NOTE In the case of ‘input flows’, products and materials include raw materials, intermediate products and co-products, while in the case of ‘output flows’ it also includes releases (emissions to air and discharges to water and soil).</w:t>
      </w:r>
    </w:p>
    <w:p w:rsidR="001F1B70" w:rsidRDefault="00D67CA6">
      <w:pPr>
        <w:rPr>
          <w:b/>
          <w:smallCaps/>
        </w:rPr>
      </w:pPr>
      <w:r>
        <w:rPr>
          <w:b/>
          <w:smallCaps/>
        </w:rPr>
        <w:t xml:space="preserve">Life cycle impact assessment (LCIA) </w:t>
      </w:r>
    </w:p>
    <w:p w:rsidR="001F1B70" w:rsidRDefault="00D67CA6">
      <w:r>
        <w:t xml:space="preserve">Phase of LCA aimed at understanding and evaluating the magnitude and significance of the potential environmental impacts for a product system throughout the life cycle of a product (ISO 14044). </w:t>
      </w:r>
    </w:p>
    <w:p w:rsidR="001F1B70" w:rsidRDefault="00D67CA6">
      <w:pPr>
        <w:rPr>
          <w:b/>
          <w:smallCaps/>
        </w:rPr>
      </w:pPr>
      <w:r>
        <w:rPr>
          <w:b/>
          <w:smallCaps/>
        </w:rPr>
        <w:t xml:space="preserve">Product category </w:t>
      </w:r>
    </w:p>
    <w:p w:rsidR="001F1B70" w:rsidRDefault="00D67CA6">
      <w:r>
        <w:t xml:space="preserve">Group of building products that can fulfill equivalent functions (adapted from ISO 14025). </w:t>
      </w:r>
    </w:p>
    <w:p w:rsidR="001F1B70" w:rsidRDefault="00D67CA6">
      <w:pPr>
        <w:rPr>
          <w:b/>
          <w:smallCaps/>
        </w:rPr>
      </w:pPr>
      <w:r>
        <w:rPr>
          <w:b/>
          <w:smallCaps/>
        </w:rPr>
        <w:t xml:space="preserve">Product category rules (PCR) </w:t>
      </w:r>
    </w:p>
    <w:p w:rsidR="001F1B70" w:rsidRDefault="00D67CA6">
      <w:r>
        <w:t xml:space="preserve">Set of specific rules, requirements and guidelines for developing of type III environmental declarations for one or more product categories (ISO 14025). </w:t>
      </w:r>
    </w:p>
    <w:p w:rsidR="001F1B70" w:rsidRDefault="00D67CA6">
      <w:pPr>
        <w:rPr>
          <w:b/>
          <w:smallCaps/>
        </w:rPr>
      </w:pPr>
      <w:r>
        <w:rPr>
          <w:b/>
          <w:smallCaps/>
        </w:rPr>
        <w:t xml:space="preserve">PCR review </w:t>
      </w:r>
    </w:p>
    <w:p w:rsidR="001F1B70" w:rsidRDefault="00D67CA6">
      <w:r>
        <w:t xml:space="preserve">Verification of the PCR by a </w:t>
      </w:r>
      <w:r w:rsidR="00811E40">
        <w:t>third-party</w:t>
      </w:r>
      <w:r>
        <w:t xml:space="preserve"> panel (adapted from ISO 21930). </w:t>
      </w:r>
    </w:p>
    <w:p w:rsidR="001F1B70" w:rsidRDefault="00D67CA6">
      <w:pPr>
        <w:rPr>
          <w:b/>
          <w:smallCaps/>
        </w:rPr>
      </w:pPr>
      <w:r>
        <w:rPr>
          <w:b/>
          <w:smallCaps/>
        </w:rPr>
        <w:t xml:space="preserve">Product system </w:t>
      </w:r>
    </w:p>
    <w:p w:rsidR="001F1B70" w:rsidRDefault="00D67CA6">
      <w:r>
        <w:t xml:space="preserve">Collection of unit processes with elementary and product flows (i.e., smallest element considered in the life cycle inventory analysis), performing one or more defined functions, and which models the life cycle of a product (adapted from ISO 14044). </w:t>
      </w:r>
    </w:p>
    <w:p w:rsidR="001F1B70" w:rsidRPr="00D67CA6" w:rsidRDefault="00D67CA6">
      <w:pPr>
        <w:rPr>
          <w:b/>
          <w:smallCaps/>
          <w:lang w:val="fr-FR"/>
        </w:rPr>
      </w:pPr>
      <w:r w:rsidRPr="00D67CA6">
        <w:rPr>
          <w:b/>
          <w:smallCaps/>
          <w:lang w:val="fr-FR"/>
        </w:rPr>
        <w:t>Type III environmental declaration/Environmental product declaration (EPD)</w:t>
      </w:r>
    </w:p>
    <w:p w:rsidR="001F1B70" w:rsidRDefault="00D67CA6">
      <w:r>
        <w:t xml:space="preserve">Environmental declaration that provides quantified environmental data of a product, using predetermined parameters and, where relevant, additional environmental information (adapted from ISO 14025). </w:t>
      </w:r>
    </w:p>
    <w:p w:rsidR="001F1B70" w:rsidRDefault="00D67CA6">
      <w:pPr>
        <w:pStyle w:val="Heading1"/>
        <w:numPr>
          <w:ilvl w:val="0"/>
          <w:numId w:val="16"/>
        </w:numPr>
      </w:pPr>
      <w:r>
        <w:t>Scope</w:t>
      </w:r>
    </w:p>
    <w:p w:rsidR="001F1B70" w:rsidRDefault="00D67CA6">
      <w:r>
        <w:t xml:space="preserve">This document contains the Product Category Rule (PCR) requirements for Commercial Steel Door and/or Steel Frame Environmental Product Declaration (EPD) published in accordance with the ISO 21930 and EN </w:t>
      </w:r>
      <w:r w:rsidR="00811E40">
        <w:t>15804 standards</w:t>
      </w:r>
      <w:r>
        <w:t>. The requirements for the background Life Cycle Assessment (LCA) project report used to inform the EPD are contained in UL Environment’s Part A: Life Cycle Assessment Calculation Rules and Report Requirements. This Part B document, coupled with the Part A, conforms to the ISO 21930, EN 15804, and ISO 14025 European and international standards for EPD reporting.</w:t>
      </w:r>
    </w:p>
    <w:p w:rsidR="005D2C78" w:rsidRDefault="005D2C78">
      <w:pPr>
        <w:spacing w:after="0" w:line="240" w:lineRule="auto"/>
        <w:rPr>
          <w:sz w:val="20"/>
          <w:szCs w:val="20"/>
          <w:u w:val="single"/>
        </w:rPr>
      </w:pPr>
    </w:p>
    <w:p w:rsidR="005D2C78" w:rsidRDefault="005D2C78">
      <w:pPr>
        <w:spacing w:after="0" w:line="240" w:lineRule="auto"/>
        <w:rPr>
          <w:sz w:val="20"/>
          <w:szCs w:val="20"/>
          <w:u w:val="single"/>
        </w:rPr>
      </w:pPr>
    </w:p>
    <w:p w:rsidR="005D2C78" w:rsidRDefault="005D2C78">
      <w:pPr>
        <w:spacing w:after="0" w:line="240" w:lineRule="auto"/>
        <w:rPr>
          <w:sz w:val="20"/>
          <w:szCs w:val="20"/>
          <w:u w:val="single"/>
        </w:rPr>
      </w:pPr>
    </w:p>
    <w:p w:rsidR="001F1B70" w:rsidRDefault="00D67CA6">
      <w:pPr>
        <w:spacing w:after="0" w:line="240" w:lineRule="auto"/>
      </w:pPr>
      <w:r>
        <w:rPr>
          <w:sz w:val="20"/>
          <w:szCs w:val="20"/>
          <w:u w:val="single"/>
        </w:rPr>
        <w:lastRenderedPageBreak/>
        <w:t>General Guidance</w:t>
      </w:r>
      <w:r>
        <w:t xml:space="preserve"> </w:t>
      </w:r>
    </w:p>
    <w:p w:rsidR="001F1B70" w:rsidRDefault="001F1B70">
      <w:pPr>
        <w:spacing w:after="0" w:line="240" w:lineRule="auto"/>
      </w:pPr>
    </w:p>
    <w:p w:rsidR="001F1B70" w:rsidRDefault="00D67CA6">
      <w:pPr>
        <w:pBdr>
          <w:top w:val="nil"/>
          <w:left w:val="nil"/>
          <w:bottom w:val="nil"/>
          <w:right w:val="nil"/>
          <w:between w:val="nil"/>
        </w:pBdr>
        <w:spacing w:after="0"/>
        <w:ind w:right="37"/>
        <w:rPr>
          <w:color w:val="000000"/>
        </w:rPr>
      </w:pPr>
      <w:r>
        <w:rPr>
          <w:color w:val="000000"/>
        </w:rPr>
        <w:t xml:space="preserve">The scope of this PCR applies to the product group “commercial steel doors and/or steel frames” produced for use in North America and includes products shown in </w:t>
      </w:r>
      <w:r>
        <w:t>Table 1</w:t>
      </w:r>
      <w:r>
        <w:rPr>
          <w:color w:val="000000"/>
        </w:rPr>
        <w:t>. The frames within the scope of this PCR can be used with doors manufactured from steel, wood, or other materials.</w:t>
      </w:r>
    </w:p>
    <w:p w:rsidR="001F1B70" w:rsidRDefault="001F1B70">
      <w:pPr>
        <w:pBdr>
          <w:top w:val="nil"/>
          <w:left w:val="nil"/>
          <w:bottom w:val="nil"/>
          <w:right w:val="nil"/>
          <w:between w:val="nil"/>
        </w:pBdr>
        <w:spacing w:after="0"/>
        <w:ind w:right="37"/>
        <w:rPr>
          <w:color w:val="000000"/>
        </w:rPr>
      </w:pPr>
    </w:p>
    <w:p w:rsidR="001F1B70" w:rsidRDefault="00D67CA6">
      <w:pPr>
        <w:pBdr>
          <w:top w:val="nil"/>
          <w:left w:val="nil"/>
          <w:bottom w:val="nil"/>
          <w:right w:val="nil"/>
          <w:between w:val="nil"/>
        </w:pBdr>
        <w:spacing w:after="0"/>
        <w:ind w:right="37"/>
        <w:rPr>
          <w:color w:val="000000"/>
        </w:rPr>
      </w:pPr>
      <w:r>
        <w:rPr>
          <w:color w:val="000000"/>
        </w:rPr>
        <w:t xml:space="preserve">This PCR covers commercial steel doors and steel frames as defined by ANSI A250.8. UL Environment recognizes, under ISO 14025, PCRs are intended to be function/service specific as opposed to material specific. </w:t>
      </w:r>
    </w:p>
    <w:p w:rsidR="001F1B70" w:rsidRDefault="001F1B70">
      <w:pPr>
        <w:pBdr>
          <w:top w:val="nil"/>
          <w:left w:val="nil"/>
          <w:bottom w:val="nil"/>
          <w:right w:val="nil"/>
          <w:between w:val="nil"/>
        </w:pBdr>
        <w:spacing w:after="0"/>
        <w:ind w:right="37"/>
        <w:rPr>
          <w:color w:val="000000"/>
        </w:rPr>
      </w:pPr>
    </w:p>
    <w:p w:rsidR="001F1B70" w:rsidRDefault="001F1B70">
      <w:pPr>
        <w:spacing w:after="0" w:line="240" w:lineRule="auto"/>
        <w:rPr>
          <w:sz w:val="20"/>
          <w:szCs w:val="20"/>
          <w:u w:val="single"/>
        </w:rPr>
      </w:pPr>
    </w:p>
    <w:p w:rsidR="001F1B70" w:rsidRDefault="00D67CA6">
      <w:pPr>
        <w:spacing w:after="0" w:line="240" w:lineRule="auto"/>
        <w:rPr>
          <w:u w:val="single"/>
        </w:rPr>
      </w:pPr>
      <w:r>
        <w:rPr>
          <w:sz w:val="20"/>
          <w:szCs w:val="20"/>
          <w:u w:val="single"/>
        </w:rPr>
        <w:t>Applicable Products</w:t>
      </w:r>
      <w:r>
        <w:rPr>
          <w:u w:val="single"/>
        </w:rPr>
        <w:t xml:space="preserve"> </w:t>
      </w:r>
    </w:p>
    <w:p w:rsidR="001F1B70" w:rsidRDefault="00D67CA6">
      <w:pPr>
        <w:spacing w:after="0" w:line="249" w:lineRule="auto"/>
      </w:pPr>
      <w:r>
        <w:t xml:space="preserve"> </w:t>
      </w:r>
    </w:p>
    <w:p w:rsidR="001F1B70" w:rsidRDefault="00D67CA6">
      <w:pPr>
        <w:spacing w:after="0" w:line="249" w:lineRule="auto"/>
      </w:pPr>
      <w:r>
        <w:t>Table 1 describes the building products covered within the scope of this Part B, along with their relevant Construction Specification Institute (CSI) MasterFormat codes. This list is non-exhaustive, and the CSI codes provided reflect common applications, which can include multiple uses; other applications may exist. Applicable UNSPSC codes include:</w:t>
      </w:r>
    </w:p>
    <w:p w:rsidR="001F1B70" w:rsidRDefault="001F1B70">
      <w:pPr>
        <w:spacing w:after="0" w:line="249" w:lineRule="auto"/>
        <w:ind w:left="1440"/>
      </w:pPr>
    </w:p>
    <w:p w:rsidR="001F1B70" w:rsidRDefault="00D67CA6">
      <w:pPr>
        <w:numPr>
          <w:ilvl w:val="0"/>
          <w:numId w:val="5"/>
        </w:numPr>
        <w:spacing w:after="0" w:line="249" w:lineRule="auto"/>
        <w:rPr>
          <w:color w:val="000000"/>
        </w:rPr>
      </w:pPr>
      <w:r>
        <w:t>30171505</w:t>
      </w:r>
      <w:r>
        <w:tab/>
        <w:t>Metal doors</w:t>
      </w:r>
    </w:p>
    <w:p w:rsidR="001F1B70" w:rsidRDefault="00D67CA6">
      <w:pPr>
        <w:numPr>
          <w:ilvl w:val="0"/>
          <w:numId w:val="5"/>
        </w:numPr>
        <w:spacing w:after="0" w:line="249" w:lineRule="auto"/>
        <w:rPr>
          <w:color w:val="000000"/>
        </w:rPr>
      </w:pPr>
      <w:r>
        <w:rPr>
          <w:color w:val="000000"/>
        </w:rPr>
        <w:t>30171507</w:t>
      </w:r>
      <w:r>
        <w:rPr>
          <w:color w:val="000000"/>
        </w:rPr>
        <w:tab/>
        <w:t>Door frames</w:t>
      </w:r>
      <w:r>
        <w:rPr>
          <w:color w:val="000000"/>
        </w:rPr>
        <w:tab/>
      </w:r>
    </w:p>
    <w:p w:rsidR="001F1B70" w:rsidRDefault="001F1B70">
      <w:pPr>
        <w:pBdr>
          <w:top w:val="nil"/>
          <w:left w:val="nil"/>
          <w:bottom w:val="nil"/>
          <w:right w:val="nil"/>
          <w:between w:val="nil"/>
        </w:pBdr>
        <w:spacing w:after="0" w:line="249" w:lineRule="auto"/>
        <w:rPr>
          <w:color w:val="000000"/>
        </w:rPr>
      </w:pPr>
    </w:p>
    <w:p w:rsidR="001F1B70" w:rsidRDefault="00D67CA6">
      <w:pPr>
        <w:keepNext/>
        <w:pBdr>
          <w:top w:val="nil"/>
          <w:left w:val="nil"/>
          <w:bottom w:val="nil"/>
          <w:right w:val="nil"/>
          <w:between w:val="nil"/>
        </w:pBdr>
        <w:spacing w:line="240" w:lineRule="auto"/>
        <w:rPr>
          <w:b/>
          <w:i/>
          <w:smallCaps/>
          <w:color w:val="000000"/>
        </w:rPr>
      </w:pPr>
      <w:bookmarkStart w:id="2" w:name="_30j0zll" w:colFirst="0" w:colLast="0"/>
      <w:bookmarkEnd w:id="2"/>
      <w:r>
        <w:rPr>
          <w:b/>
          <w:smallCaps/>
          <w:color w:val="000000"/>
        </w:rPr>
        <w:t xml:space="preserve">Table 1. Commercial Steel Door and Steel Frame Product Categories, CSI codes and descriptions </w:t>
      </w:r>
    </w:p>
    <w:tbl>
      <w:tblPr>
        <w:tblStyle w:val="a1"/>
        <w:tblW w:w="90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60"/>
        <w:gridCol w:w="1380"/>
        <w:gridCol w:w="3735"/>
      </w:tblGrid>
      <w:tr w:rsidR="001F1B70">
        <w:trPr>
          <w:trHeight w:val="420"/>
        </w:trPr>
        <w:tc>
          <w:tcPr>
            <w:tcW w:w="39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F1B70" w:rsidRDefault="00D67CA6">
            <w:pPr>
              <w:spacing w:line="276" w:lineRule="auto"/>
              <w:ind w:left="100"/>
              <w:rPr>
                <w:b/>
                <w:sz w:val="16"/>
                <w:szCs w:val="16"/>
              </w:rPr>
            </w:pPr>
            <w:r>
              <w:rPr>
                <w:b/>
                <w:sz w:val="16"/>
                <w:szCs w:val="16"/>
              </w:rPr>
              <w:t>Building product</w:t>
            </w:r>
          </w:p>
        </w:tc>
        <w:tc>
          <w:tcPr>
            <w:tcW w:w="138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1F1B70" w:rsidRDefault="00D67CA6">
            <w:pPr>
              <w:spacing w:line="276" w:lineRule="auto"/>
              <w:ind w:left="100"/>
              <w:rPr>
                <w:b/>
                <w:sz w:val="16"/>
                <w:szCs w:val="16"/>
              </w:rPr>
            </w:pPr>
            <w:r>
              <w:rPr>
                <w:b/>
                <w:sz w:val="16"/>
                <w:szCs w:val="16"/>
              </w:rPr>
              <w:t>CSI code(s)</w:t>
            </w:r>
          </w:p>
        </w:tc>
        <w:tc>
          <w:tcPr>
            <w:tcW w:w="373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1F1B70" w:rsidRDefault="00D67CA6">
            <w:pPr>
              <w:spacing w:line="276" w:lineRule="auto"/>
              <w:ind w:left="100"/>
              <w:rPr>
                <w:b/>
                <w:sz w:val="16"/>
                <w:szCs w:val="16"/>
              </w:rPr>
            </w:pPr>
            <w:r>
              <w:rPr>
                <w:b/>
                <w:sz w:val="16"/>
                <w:szCs w:val="16"/>
              </w:rPr>
              <w:t>CSI descriptions</w:t>
            </w:r>
          </w:p>
        </w:tc>
      </w:tr>
      <w:tr w:rsidR="001F1B70">
        <w:trPr>
          <w:trHeight w:val="180"/>
        </w:trPr>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1B70" w:rsidRPr="00D67CA6" w:rsidRDefault="00D67CA6">
            <w:pPr>
              <w:ind w:left="100"/>
              <w:rPr>
                <w:rFonts w:asciiTheme="minorBidi" w:hAnsiTheme="minorBidi" w:cstheme="minorBidi"/>
                <w:sz w:val="18"/>
                <w:szCs w:val="18"/>
                <w:vertAlign w:val="superscript"/>
              </w:rPr>
            </w:pPr>
            <w:r w:rsidRPr="00D67CA6">
              <w:rPr>
                <w:rFonts w:asciiTheme="minorBidi" w:hAnsiTheme="minorBidi" w:cstheme="minorBidi"/>
                <w:sz w:val="18"/>
                <w:szCs w:val="18"/>
              </w:rPr>
              <w:t>Steel Doors and Steel Frames</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1B70" w:rsidRPr="00D67CA6" w:rsidRDefault="00D67CA6">
            <w:pPr>
              <w:spacing w:after="160"/>
              <w:rPr>
                <w:rFonts w:asciiTheme="minorBidi" w:hAnsiTheme="minorBidi" w:cstheme="minorBidi"/>
                <w:sz w:val="18"/>
                <w:szCs w:val="18"/>
              </w:rPr>
            </w:pPr>
            <w:r w:rsidRPr="00D67CA6">
              <w:rPr>
                <w:rFonts w:asciiTheme="minorBidi" w:eastAsia="Verdana" w:hAnsiTheme="minorBidi" w:cstheme="minorBidi"/>
                <w:sz w:val="18"/>
                <w:szCs w:val="18"/>
              </w:rPr>
              <w:t xml:space="preserve">08 11 13 </w:t>
            </w:r>
          </w:p>
          <w:p w:rsidR="001F1B70" w:rsidRPr="00D67CA6" w:rsidRDefault="00D67CA6">
            <w:pPr>
              <w:spacing w:after="160"/>
              <w:rPr>
                <w:rFonts w:asciiTheme="minorBidi" w:eastAsia="Verdana" w:hAnsiTheme="minorBidi" w:cstheme="minorBidi"/>
                <w:sz w:val="18"/>
                <w:szCs w:val="18"/>
              </w:rPr>
            </w:pPr>
            <w:r w:rsidRPr="00D67CA6">
              <w:rPr>
                <w:rFonts w:asciiTheme="minorBidi" w:eastAsia="Verdana" w:hAnsiTheme="minorBidi" w:cstheme="minorBidi"/>
                <w:sz w:val="18"/>
                <w:szCs w:val="18"/>
              </w:rPr>
              <w:t xml:space="preserve">08 11 19 </w:t>
            </w:r>
          </w:p>
          <w:p w:rsidR="001F1B70" w:rsidRPr="00D67CA6" w:rsidRDefault="00D67CA6">
            <w:pPr>
              <w:spacing w:after="160"/>
              <w:rPr>
                <w:rFonts w:asciiTheme="minorBidi" w:eastAsia="Verdana" w:hAnsiTheme="minorBidi" w:cstheme="minorBidi"/>
                <w:sz w:val="18"/>
                <w:szCs w:val="18"/>
              </w:rPr>
            </w:pPr>
            <w:r w:rsidRPr="00D67CA6">
              <w:rPr>
                <w:rFonts w:asciiTheme="minorBidi" w:eastAsia="Verdana" w:hAnsiTheme="minorBidi" w:cstheme="minorBidi"/>
                <w:sz w:val="18"/>
                <w:szCs w:val="18"/>
              </w:rPr>
              <w:t xml:space="preserve">08 12 13 </w:t>
            </w:r>
          </w:p>
          <w:p w:rsidR="001F1B70" w:rsidRPr="00D67CA6" w:rsidRDefault="00D67CA6">
            <w:pPr>
              <w:spacing w:after="160"/>
              <w:rPr>
                <w:rFonts w:asciiTheme="minorBidi" w:eastAsia="Verdana" w:hAnsiTheme="minorBidi" w:cstheme="minorBidi"/>
                <w:sz w:val="18"/>
                <w:szCs w:val="18"/>
              </w:rPr>
            </w:pPr>
            <w:r w:rsidRPr="00D67CA6">
              <w:rPr>
                <w:rFonts w:asciiTheme="minorBidi" w:eastAsia="Verdana" w:hAnsiTheme="minorBidi" w:cstheme="minorBidi"/>
                <w:sz w:val="18"/>
                <w:szCs w:val="18"/>
              </w:rPr>
              <w:t xml:space="preserve">08 13 13 </w:t>
            </w:r>
          </w:p>
          <w:p w:rsidR="001F1B70" w:rsidRPr="00D67CA6" w:rsidRDefault="00D67CA6">
            <w:pPr>
              <w:spacing w:after="160"/>
              <w:rPr>
                <w:rFonts w:asciiTheme="minorBidi" w:eastAsia="Verdana" w:hAnsiTheme="minorBidi" w:cstheme="minorBidi"/>
                <w:sz w:val="18"/>
                <w:szCs w:val="18"/>
              </w:rPr>
            </w:pPr>
            <w:r w:rsidRPr="00D67CA6">
              <w:rPr>
                <w:rFonts w:asciiTheme="minorBidi" w:eastAsia="Verdana" w:hAnsiTheme="minorBidi" w:cstheme="minorBidi"/>
                <w:sz w:val="18"/>
                <w:szCs w:val="18"/>
              </w:rPr>
              <w:t xml:space="preserve">08 13 19 </w:t>
            </w:r>
          </w:p>
          <w:p w:rsidR="001F1B70" w:rsidRPr="00D67CA6" w:rsidRDefault="00D67CA6">
            <w:pPr>
              <w:spacing w:after="160"/>
              <w:rPr>
                <w:rFonts w:asciiTheme="minorBidi" w:eastAsia="Verdana" w:hAnsiTheme="minorBidi" w:cstheme="minorBidi"/>
                <w:sz w:val="18"/>
                <w:szCs w:val="18"/>
              </w:rPr>
            </w:pPr>
            <w:r w:rsidRPr="00D67CA6">
              <w:rPr>
                <w:rFonts w:asciiTheme="minorBidi" w:eastAsia="Verdana" w:hAnsiTheme="minorBidi" w:cstheme="minorBidi"/>
                <w:sz w:val="18"/>
                <w:szCs w:val="18"/>
              </w:rPr>
              <w:t xml:space="preserve">08 17 13 </w:t>
            </w:r>
          </w:p>
        </w:tc>
        <w:tc>
          <w:tcPr>
            <w:tcW w:w="3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1B70" w:rsidRPr="00D67CA6" w:rsidRDefault="00D67CA6">
            <w:pPr>
              <w:spacing w:after="160"/>
              <w:rPr>
                <w:rFonts w:asciiTheme="minorBidi" w:eastAsia="Verdana" w:hAnsiTheme="minorBidi" w:cstheme="minorBidi"/>
                <w:sz w:val="18"/>
                <w:szCs w:val="18"/>
              </w:rPr>
            </w:pPr>
            <w:r w:rsidRPr="00D67CA6">
              <w:rPr>
                <w:rFonts w:asciiTheme="minorBidi" w:eastAsia="Verdana" w:hAnsiTheme="minorBidi" w:cstheme="minorBidi"/>
                <w:sz w:val="18"/>
                <w:szCs w:val="18"/>
              </w:rPr>
              <w:t>Hollow Metal Doors and Frames</w:t>
            </w:r>
          </w:p>
          <w:p w:rsidR="001F1B70" w:rsidRPr="00D67CA6" w:rsidRDefault="00D67CA6">
            <w:pPr>
              <w:spacing w:after="160"/>
              <w:rPr>
                <w:rFonts w:asciiTheme="minorBidi" w:eastAsia="Verdana" w:hAnsiTheme="minorBidi" w:cstheme="minorBidi"/>
                <w:sz w:val="18"/>
                <w:szCs w:val="18"/>
              </w:rPr>
            </w:pPr>
            <w:r w:rsidRPr="00D67CA6">
              <w:rPr>
                <w:rFonts w:asciiTheme="minorBidi" w:eastAsia="Verdana" w:hAnsiTheme="minorBidi" w:cstheme="minorBidi"/>
                <w:sz w:val="18"/>
                <w:szCs w:val="18"/>
              </w:rPr>
              <w:t>Stainless-Steel Doors and Frames</w:t>
            </w:r>
          </w:p>
          <w:p w:rsidR="001F1B70" w:rsidRPr="00D67CA6" w:rsidRDefault="00D67CA6">
            <w:pPr>
              <w:spacing w:after="160"/>
              <w:rPr>
                <w:rFonts w:asciiTheme="minorBidi" w:eastAsia="Verdana" w:hAnsiTheme="minorBidi" w:cstheme="minorBidi"/>
                <w:sz w:val="18"/>
                <w:szCs w:val="18"/>
              </w:rPr>
            </w:pPr>
            <w:r w:rsidRPr="00D67CA6">
              <w:rPr>
                <w:rFonts w:asciiTheme="minorBidi" w:eastAsia="Verdana" w:hAnsiTheme="minorBidi" w:cstheme="minorBidi"/>
                <w:sz w:val="18"/>
                <w:szCs w:val="18"/>
              </w:rPr>
              <w:t>Hollow Metal Frames</w:t>
            </w:r>
          </w:p>
          <w:p w:rsidR="001F1B70" w:rsidRPr="00D67CA6" w:rsidRDefault="00D67CA6">
            <w:pPr>
              <w:spacing w:after="160"/>
              <w:rPr>
                <w:rFonts w:asciiTheme="minorBidi" w:eastAsia="Verdana" w:hAnsiTheme="minorBidi" w:cstheme="minorBidi"/>
                <w:sz w:val="18"/>
                <w:szCs w:val="18"/>
              </w:rPr>
            </w:pPr>
            <w:r w:rsidRPr="00D67CA6">
              <w:rPr>
                <w:rFonts w:asciiTheme="minorBidi" w:eastAsia="Verdana" w:hAnsiTheme="minorBidi" w:cstheme="minorBidi"/>
                <w:sz w:val="18"/>
                <w:szCs w:val="18"/>
              </w:rPr>
              <w:t>Hollow Metal Doors</w:t>
            </w:r>
          </w:p>
          <w:p w:rsidR="001F1B70" w:rsidRPr="00D67CA6" w:rsidRDefault="00D67CA6">
            <w:pPr>
              <w:spacing w:after="160"/>
              <w:rPr>
                <w:rFonts w:asciiTheme="minorBidi" w:eastAsia="Verdana" w:hAnsiTheme="minorBidi" w:cstheme="minorBidi"/>
                <w:sz w:val="18"/>
                <w:szCs w:val="18"/>
              </w:rPr>
            </w:pPr>
            <w:r w:rsidRPr="00D67CA6">
              <w:rPr>
                <w:rFonts w:asciiTheme="minorBidi" w:eastAsia="Verdana" w:hAnsiTheme="minorBidi" w:cstheme="minorBidi"/>
                <w:sz w:val="18"/>
                <w:szCs w:val="18"/>
              </w:rPr>
              <w:t>Stainless-Steel Doors</w:t>
            </w:r>
          </w:p>
          <w:p w:rsidR="001F1B70" w:rsidRPr="004B01CE" w:rsidRDefault="00D67CA6" w:rsidP="004B01CE">
            <w:pPr>
              <w:spacing w:after="160"/>
              <w:rPr>
                <w:rFonts w:asciiTheme="minorBidi" w:eastAsia="Verdana" w:hAnsiTheme="minorBidi" w:cstheme="minorBidi"/>
                <w:sz w:val="18"/>
                <w:szCs w:val="18"/>
              </w:rPr>
            </w:pPr>
            <w:r w:rsidRPr="00D67CA6">
              <w:rPr>
                <w:rFonts w:asciiTheme="minorBidi" w:eastAsia="Verdana" w:hAnsiTheme="minorBidi" w:cstheme="minorBidi"/>
                <w:sz w:val="18"/>
                <w:szCs w:val="18"/>
              </w:rPr>
              <w:t>Integrated Metal Door Opening Assemblies</w:t>
            </w:r>
          </w:p>
        </w:tc>
      </w:tr>
      <w:tr w:rsidR="001F1B70">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1B70" w:rsidRPr="00D67CA6" w:rsidRDefault="00D67CA6">
            <w:pPr>
              <w:ind w:left="100"/>
              <w:rPr>
                <w:sz w:val="18"/>
                <w:szCs w:val="18"/>
                <w:vertAlign w:val="superscript"/>
              </w:rPr>
            </w:pPr>
            <w:r w:rsidRPr="00D67CA6">
              <w:rPr>
                <w:sz w:val="18"/>
                <w:szCs w:val="18"/>
              </w:rPr>
              <w:t>Steel Frames</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1B70" w:rsidRPr="00D67CA6" w:rsidRDefault="00D67CA6">
            <w:pPr>
              <w:ind w:left="100"/>
              <w:rPr>
                <w:sz w:val="18"/>
                <w:szCs w:val="18"/>
              </w:rPr>
            </w:pPr>
            <w:r w:rsidRPr="00D67CA6">
              <w:rPr>
                <w:color w:val="000000"/>
                <w:sz w:val="18"/>
                <w:szCs w:val="18"/>
              </w:rPr>
              <w:t>081200</w:t>
            </w:r>
            <w:r w:rsidRPr="00D67CA6">
              <w:rPr>
                <w:color w:val="000000"/>
                <w:sz w:val="18"/>
                <w:szCs w:val="18"/>
              </w:rPr>
              <w:tab/>
            </w:r>
          </w:p>
        </w:tc>
        <w:tc>
          <w:tcPr>
            <w:tcW w:w="3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1B70" w:rsidRPr="00D67CA6" w:rsidRDefault="00D67CA6">
            <w:pPr>
              <w:ind w:left="100"/>
              <w:rPr>
                <w:sz w:val="18"/>
                <w:szCs w:val="18"/>
              </w:rPr>
            </w:pPr>
            <w:r w:rsidRPr="00D67CA6">
              <w:rPr>
                <w:sz w:val="18"/>
                <w:szCs w:val="18"/>
              </w:rPr>
              <w:t>Metal Frames</w:t>
            </w:r>
          </w:p>
        </w:tc>
      </w:tr>
    </w:tbl>
    <w:p w:rsidR="001F1B70" w:rsidRDefault="001F1B70">
      <w:pPr>
        <w:spacing w:after="0" w:line="240" w:lineRule="auto"/>
        <w:ind w:left="648" w:hanging="288"/>
        <w:rPr>
          <w:sz w:val="16"/>
          <w:szCs w:val="16"/>
        </w:rPr>
      </w:pPr>
    </w:p>
    <w:p w:rsidR="001F1B70" w:rsidRDefault="001F1B70">
      <w:pPr>
        <w:spacing w:after="0" w:line="240" w:lineRule="auto"/>
        <w:rPr>
          <w:sz w:val="20"/>
          <w:szCs w:val="20"/>
          <w:u w:val="single"/>
        </w:rPr>
      </w:pPr>
    </w:p>
    <w:p w:rsidR="001F1B70" w:rsidRDefault="00D67CA6">
      <w:pPr>
        <w:spacing w:after="0" w:line="240" w:lineRule="auto"/>
      </w:pPr>
      <w:r>
        <w:rPr>
          <w:sz w:val="20"/>
          <w:szCs w:val="20"/>
          <w:u w:val="single"/>
        </w:rPr>
        <w:t>Non-Applicable Products</w:t>
      </w:r>
    </w:p>
    <w:p w:rsidR="001F1B70" w:rsidRDefault="001F1B70">
      <w:pPr>
        <w:spacing w:after="0" w:line="240" w:lineRule="auto"/>
      </w:pPr>
    </w:p>
    <w:p w:rsidR="001F1B70" w:rsidRDefault="00D67CA6">
      <w:pPr>
        <w:spacing w:after="0" w:line="240" w:lineRule="auto"/>
      </w:pPr>
      <w:r>
        <w:t>Products excluded from the scope of this PCR include:</w:t>
      </w:r>
      <w:r>
        <w:br/>
      </w:r>
    </w:p>
    <w:p w:rsidR="001F1B70" w:rsidRDefault="00D67CA6">
      <w:pPr>
        <w:numPr>
          <w:ilvl w:val="0"/>
          <w:numId w:val="13"/>
        </w:numPr>
        <w:pBdr>
          <w:top w:val="nil"/>
          <w:left w:val="nil"/>
          <w:bottom w:val="nil"/>
          <w:right w:val="nil"/>
          <w:between w:val="nil"/>
        </w:pBdr>
        <w:spacing w:after="0"/>
        <w:ind w:right="37"/>
        <w:rPr>
          <w:color w:val="000000"/>
        </w:rPr>
      </w:pPr>
      <w:r>
        <w:rPr>
          <w:color w:val="000000"/>
        </w:rPr>
        <w:t>Components such as hanging devices, locking hardware, door controls, and accessories:</w:t>
      </w:r>
      <w:r>
        <w:rPr>
          <w:color w:val="000000"/>
          <w:vertAlign w:val="superscript"/>
        </w:rPr>
        <w:footnoteReference w:id="1"/>
      </w:r>
    </w:p>
    <w:p w:rsidR="001F1B70" w:rsidRDefault="00D67CA6">
      <w:pPr>
        <w:numPr>
          <w:ilvl w:val="1"/>
          <w:numId w:val="13"/>
        </w:numPr>
        <w:spacing w:after="0" w:line="240" w:lineRule="auto"/>
      </w:pPr>
      <w:r>
        <w:t>Covered under Product Category Rules (PCR) Guidance for Building-Related Products and Services Part B: Builders Hardware EPD Requirements. Standard 10010-13, Edition 2. UL Environment, Expected December 2019.</w:t>
      </w:r>
    </w:p>
    <w:p w:rsidR="001F1B70" w:rsidRDefault="001F1B70">
      <w:pPr>
        <w:spacing w:after="0" w:line="240" w:lineRule="auto"/>
        <w:rPr>
          <w:color w:val="000000"/>
        </w:rPr>
      </w:pPr>
    </w:p>
    <w:p w:rsidR="001F1B70" w:rsidRDefault="001F1B70">
      <w:pPr>
        <w:spacing w:after="0" w:line="240" w:lineRule="auto"/>
        <w:rPr>
          <w:color w:val="000000"/>
        </w:rPr>
      </w:pPr>
    </w:p>
    <w:p w:rsidR="001F1B70" w:rsidRDefault="00D67CA6">
      <w:pPr>
        <w:spacing w:after="0" w:line="240" w:lineRule="auto"/>
        <w:rPr>
          <w:sz w:val="20"/>
          <w:szCs w:val="20"/>
          <w:u w:val="single"/>
        </w:rPr>
      </w:pPr>
      <w:r>
        <w:rPr>
          <w:sz w:val="20"/>
          <w:szCs w:val="20"/>
          <w:u w:val="single"/>
        </w:rPr>
        <w:t>System Boundary</w:t>
      </w:r>
    </w:p>
    <w:p w:rsidR="001F1B70" w:rsidRDefault="001F1B70">
      <w:pPr>
        <w:spacing w:after="0" w:line="240" w:lineRule="auto"/>
      </w:pPr>
    </w:p>
    <w:p w:rsidR="001F1B70" w:rsidRDefault="00D67CA6">
      <w:pPr>
        <w:spacing w:after="0" w:line="240" w:lineRule="auto"/>
      </w:pPr>
      <w:r>
        <w:t>The system boundary for EPDs created using this PCR is either cradle to gate (modules A1-A3), cradle to gate with options (modules A1-A3, optional modules A4, A5, B2, and/or C1-C4), or cradle to grave (modules A1-C4). See Part A, Section 2.8 for further discussion of the required and optional information modules included in each EPD type. Module D is not a life cycle stage like the information modules A1 to C4 and is outside the system boundary of the studied product system and construction works system. Supplementary environmental information may be provided in Module D that addresses potential loads and benefits beyond the product system boundary.</w:t>
      </w:r>
    </w:p>
    <w:p w:rsidR="001F1B70" w:rsidRDefault="001F1B70">
      <w:pPr>
        <w:spacing w:after="0" w:line="240" w:lineRule="auto"/>
      </w:pPr>
    </w:p>
    <w:p w:rsidR="001F1B70" w:rsidRDefault="00D67CA6">
      <w:pPr>
        <w:spacing w:after="0" w:line="240" w:lineRule="auto"/>
      </w:pPr>
      <w:r>
        <w:lastRenderedPageBreak/>
        <w:t xml:space="preserve">At this time, there is no industry consensus for assumptions behind the reported scenarios for information modules A4, A5, B2, or C1 – C4 across each of the subcategories of products included in this PCR. </w:t>
      </w:r>
    </w:p>
    <w:p w:rsidR="001F1B70" w:rsidRDefault="001F1B70">
      <w:pPr>
        <w:spacing w:after="0" w:line="240" w:lineRule="auto"/>
        <w:rPr>
          <w:color w:val="000000"/>
        </w:rPr>
      </w:pPr>
    </w:p>
    <w:p w:rsidR="001F1B70" w:rsidRDefault="00D67CA6">
      <w:pPr>
        <w:ind w:left="-5" w:right="47"/>
      </w:pPr>
      <w:r>
        <w:t>The EPD requirements include:</w:t>
      </w:r>
    </w:p>
    <w:p w:rsidR="001F1B70" w:rsidRDefault="00D67CA6">
      <w:pPr>
        <w:numPr>
          <w:ilvl w:val="0"/>
          <w:numId w:val="7"/>
        </w:numPr>
        <w:pBdr>
          <w:top w:val="nil"/>
          <w:left w:val="nil"/>
          <w:bottom w:val="nil"/>
          <w:right w:val="nil"/>
          <w:between w:val="nil"/>
        </w:pBdr>
        <w:spacing w:after="0"/>
      </w:pPr>
      <w:r>
        <w:t>Requirements of the ISO 21930:2017 standard</w:t>
      </w:r>
    </w:p>
    <w:p w:rsidR="001F1B70" w:rsidRDefault="00D67CA6">
      <w:pPr>
        <w:numPr>
          <w:ilvl w:val="0"/>
          <w:numId w:val="7"/>
        </w:numPr>
        <w:pBdr>
          <w:top w:val="nil"/>
          <w:left w:val="nil"/>
          <w:bottom w:val="nil"/>
          <w:right w:val="nil"/>
          <w:between w:val="nil"/>
        </w:pBdr>
        <w:spacing w:after="0"/>
      </w:pPr>
      <w:r>
        <w:rPr>
          <w:color w:val="000000"/>
        </w:rPr>
        <w:t>Requirements of the EN 15804 standard for consistency between declarations in Europe and the United States.</w:t>
      </w:r>
    </w:p>
    <w:p w:rsidR="001F1B70" w:rsidRDefault="00D67CA6">
      <w:pPr>
        <w:numPr>
          <w:ilvl w:val="0"/>
          <w:numId w:val="7"/>
        </w:numPr>
        <w:pBdr>
          <w:top w:val="nil"/>
          <w:left w:val="nil"/>
          <w:bottom w:val="nil"/>
          <w:right w:val="nil"/>
          <w:between w:val="nil"/>
        </w:pBdr>
        <w:spacing w:after="0"/>
        <w:rPr>
          <w:color w:val="000000"/>
          <w:sz w:val="20"/>
          <w:szCs w:val="20"/>
        </w:rPr>
      </w:pPr>
      <w:r>
        <w:rPr>
          <w:color w:val="000000"/>
        </w:rPr>
        <w:t xml:space="preserve">The calculation rules for the Life Cycle Assessment and Requirements on the Project Report are specified in a separate document as Part A of the Product Category Rules, available at </w:t>
      </w:r>
      <w:hyperlink r:id="rId10">
        <w:r>
          <w:rPr>
            <w:color w:val="0000FF"/>
            <w:u w:val="single"/>
          </w:rPr>
          <w:t>https://ul.com/offerings/product-category-rules-pcrs</w:t>
        </w:r>
      </w:hyperlink>
      <w:r>
        <w:rPr>
          <w:color w:val="000000"/>
        </w:rPr>
        <w:t>. At the time of publishing this document, version 3.2 is the most current.</w:t>
      </w:r>
    </w:p>
    <w:p w:rsidR="001F1B70" w:rsidRDefault="001F1B70">
      <w:pPr>
        <w:pBdr>
          <w:top w:val="nil"/>
          <w:left w:val="nil"/>
          <w:bottom w:val="nil"/>
          <w:right w:val="nil"/>
          <w:between w:val="nil"/>
        </w:pBdr>
        <w:spacing w:after="0"/>
        <w:ind w:left="720"/>
        <w:rPr>
          <w:color w:val="000000"/>
          <w:sz w:val="20"/>
          <w:szCs w:val="20"/>
        </w:rPr>
      </w:pPr>
    </w:p>
    <w:p w:rsidR="001F1B70" w:rsidRDefault="00D67CA6">
      <w:pPr>
        <w:pStyle w:val="Heading1"/>
        <w:numPr>
          <w:ilvl w:val="0"/>
          <w:numId w:val="16"/>
        </w:numPr>
      </w:pPr>
      <w:bookmarkStart w:id="3" w:name="_1fob9te" w:colFirst="0" w:colLast="0"/>
      <w:bookmarkEnd w:id="3"/>
      <w:r>
        <w:t>Industry-Average EPD and Report Requirements</w:t>
      </w:r>
    </w:p>
    <w:p w:rsidR="001F1B70" w:rsidRDefault="001F1B70">
      <w:pPr>
        <w:spacing w:after="4"/>
        <w:ind w:right="68"/>
      </w:pPr>
    </w:p>
    <w:p w:rsidR="001F1B70" w:rsidRDefault="00D67CA6">
      <w:pPr>
        <w:spacing w:after="4"/>
        <w:ind w:right="68"/>
        <w:rPr>
          <w:sz w:val="20"/>
          <w:szCs w:val="20"/>
          <w:u w:val="single"/>
        </w:rPr>
      </w:pPr>
      <w:bookmarkStart w:id="4" w:name="_3znysh7" w:colFirst="0" w:colLast="0"/>
      <w:bookmarkEnd w:id="4"/>
      <w:r>
        <w:rPr>
          <w:sz w:val="20"/>
          <w:szCs w:val="20"/>
          <w:u w:val="single"/>
        </w:rPr>
        <w:t>Industry-Average EPD Scope</w:t>
      </w:r>
    </w:p>
    <w:p w:rsidR="001F1B70" w:rsidRDefault="00D67CA6">
      <w:pPr>
        <w:spacing w:after="4"/>
        <w:ind w:right="68"/>
        <w:rPr>
          <w:color w:val="000000"/>
        </w:rPr>
      </w:pPr>
      <w:r>
        <w:rPr>
          <w:color w:val="000000"/>
        </w:rPr>
        <w:t xml:space="preserve">The scope of products represented within a single </w:t>
      </w:r>
      <w:r w:rsidR="00811E40">
        <w:rPr>
          <w:color w:val="000000"/>
        </w:rPr>
        <w:t>industry average</w:t>
      </w:r>
      <w:r>
        <w:rPr>
          <w:color w:val="000000"/>
        </w:rPr>
        <w:t xml:space="preserve"> EPD created using this PCR is limited to the material(s) defined in the standards in Section 9 that characterize the product in commerce.</w:t>
      </w:r>
    </w:p>
    <w:p w:rsidR="001F1B70" w:rsidRDefault="001F1B70">
      <w:pPr>
        <w:spacing w:after="4"/>
        <w:ind w:right="68"/>
      </w:pPr>
    </w:p>
    <w:p w:rsidR="001F1B70" w:rsidRDefault="00D67CA6">
      <w:pPr>
        <w:spacing w:after="0" w:line="240" w:lineRule="auto"/>
        <w:rPr>
          <w:sz w:val="20"/>
          <w:szCs w:val="20"/>
          <w:u w:val="single"/>
        </w:rPr>
      </w:pPr>
      <w:r>
        <w:rPr>
          <w:sz w:val="20"/>
          <w:szCs w:val="20"/>
          <w:u w:val="single"/>
        </w:rPr>
        <w:t xml:space="preserve">Involvement of Interested Parties </w:t>
      </w:r>
    </w:p>
    <w:p w:rsidR="001F1B70" w:rsidRDefault="001F1B70">
      <w:pPr>
        <w:spacing w:after="4"/>
        <w:ind w:right="68"/>
      </w:pPr>
    </w:p>
    <w:p w:rsidR="001F1B70" w:rsidRDefault="00D67CA6">
      <w:pPr>
        <w:spacing w:after="4"/>
        <w:ind w:right="68"/>
      </w:pPr>
      <w:r>
        <w:t xml:space="preserve">A call for involvement of interested parties in the creation of an </w:t>
      </w:r>
      <w:r w:rsidR="00811E40">
        <w:t>industry average</w:t>
      </w:r>
      <w:r>
        <w:t xml:space="preserve"> EPD shall be published in at least one industry trade publication. At a minimum, three (3) different manufacturing locations from no less than three (3) companies should be involved and represented in an </w:t>
      </w:r>
      <w:r w:rsidR="00811E40">
        <w:t>industry average</w:t>
      </w:r>
      <w:r>
        <w:t xml:space="preserve"> EPD, unless fewer locations or companies exist in the current market. A production-weighted average shall be calculated. The method for determining representativeness shall be justified and described in the LCA and EPD per the requirements listed in Section ‎2.3.1. The industry EPD shall report the percentage of market participation.</w:t>
      </w:r>
    </w:p>
    <w:p w:rsidR="001F1B70" w:rsidRDefault="001F1B70">
      <w:pPr>
        <w:spacing w:after="4"/>
        <w:ind w:right="68"/>
      </w:pPr>
    </w:p>
    <w:p w:rsidR="001F1B70" w:rsidRDefault="00D67CA6">
      <w:pPr>
        <w:spacing w:after="0" w:line="240" w:lineRule="auto"/>
      </w:pPr>
      <w:bookmarkStart w:id="5" w:name="_2et92p0" w:colFirst="0" w:colLast="0"/>
      <w:bookmarkEnd w:id="5"/>
      <w:r>
        <w:rPr>
          <w:sz w:val="20"/>
          <w:szCs w:val="20"/>
          <w:u w:val="single"/>
        </w:rPr>
        <w:t>Industry-Average EPD Participation</w:t>
      </w:r>
      <w:r>
        <w:tab/>
      </w:r>
    </w:p>
    <w:p w:rsidR="001F1B70" w:rsidRDefault="001F1B70">
      <w:pPr>
        <w:spacing w:after="0" w:line="240" w:lineRule="auto"/>
      </w:pPr>
    </w:p>
    <w:p w:rsidR="001F1B70" w:rsidRDefault="00D67CA6">
      <w:pPr>
        <w:spacing w:after="0" w:line="240" w:lineRule="auto"/>
      </w:pPr>
      <w:r>
        <w:t xml:space="preserve">A manufacturer qualifies for participation in an </w:t>
      </w:r>
      <w:r w:rsidR="00811E40">
        <w:t>industry average</w:t>
      </w:r>
      <w:r>
        <w:t xml:space="preserve"> EPD created using this PCR if they provide primary manufacturing data used in calculating the initial EPD average or demonstrate willingness in writing to provide primary manufacturing data during the LCA data collection process.</w:t>
      </w:r>
    </w:p>
    <w:p w:rsidR="001F1B70" w:rsidRDefault="001F1B70">
      <w:pPr>
        <w:spacing w:after="4"/>
        <w:ind w:right="68"/>
      </w:pPr>
    </w:p>
    <w:p w:rsidR="001F1B70" w:rsidRDefault="00D67CA6">
      <w:pPr>
        <w:rPr>
          <w:color w:val="000000"/>
          <w:sz w:val="20"/>
          <w:szCs w:val="20"/>
        </w:rPr>
      </w:pPr>
      <w:r>
        <w:rPr>
          <w:color w:val="000000"/>
          <w:sz w:val="20"/>
          <w:szCs w:val="20"/>
          <w:u w:val="single"/>
        </w:rPr>
        <w:t>Retroactive participation</w:t>
      </w:r>
    </w:p>
    <w:p w:rsidR="001F1B70" w:rsidRDefault="00D67CA6">
      <w:pPr>
        <w:spacing w:line="240" w:lineRule="auto"/>
        <w:rPr>
          <w:rFonts w:ascii="Times New Roman" w:eastAsia="Times New Roman" w:hAnsi="Times New Roman" w:cs="Times New Roman"/>
          <w:sz w:val="24"/>
          <w:szCs w:val="24"/>
        </w:rPr>
      </w:pPr>
      <w:r>
        <w:rPr>
          <w:color w:val="000000"/>
        </w:rPr>
        <w:t xml:space="preserve">A manufacturer desiring retroactive inclusion in the industry average EPD shall provide the manufacturing and product data </w:t>
      </w:r>
      <w:r>
        <w:t xml:space="preserve">information consistent with the information submitted </w:t>
      </w:r>
      <w:r>
        <w:rPr>
          <w:color w:val="000000"/>
        </w:rPr>
        <w:t xml:space="preserve">in the original industry average EPD. The LCA practitioner will then recommend to the Program Operator a determination for inclusion in the industry average on the basis of results falling within a reasonable range for any impact category. The maximum and minimum should be reported in the LCA background report for each impact category based on the highest and lowest impact product or facility within the original </w:t>
      </w:r>
      <w:r w:rsidR="00811E40">
        <w:rPr>
          <w:color w:val="000000"/>
        </w:rPr>
        <w:t>industry wide</w:t>
      </w:r>
      <w:r>
        <w:rPr>
          <w:color w:val="000000"/>
        </w:rPr>
        <w:t xml:space="preserve"> LCA.</w:t>
      </w:r>
    </w:p>
    <w:p w:rsidR="001F1B70" w:rsidRDefault="00D67CA6">
      <w:pPr>
        <w:spacing w:line="240" w:lineRule="auto"/>
        <w:rPr>
          <w:rFonts w:ascii="Times New Roman" w:eastAsia="Times New Roman" w:hAnsi="Times New Roman" w:cs="Times New Roman"/>
          <w:sz w:val="24"/>
          <w:szCs w:val="24"/>
        </w:rPr>
      </w:pPr>
      <w:r>
        <w:rPr>
          <w:color w:val="000000"/>
        </w:rPr>
        <w:t>When determining a manufacturer’s participation eligibility, the EPD Program Operator shall follow the recommendations of the primary sponsor(s) of the industry average EPD and participating manufacturers unless the Program Operator has information to the contrary, in which case the Program Operator, LCA practitioner, primary sponsor of the industry average EPD, and manufacturer shall confer in an effort to reach consensus.</w:t>
      </w:r>
    </w:p>
    <w:p w:rsidR="001F1B70" w:rsidRDefault="00D67CA6">
      <w:pPr>
        <w:pStyle w:val="Heading2"/>
        <w:rPr>
          <w:rFonts w:ascii="Arial" w:eastAsia="Arial" w:hAnsi="Arial" w:cs="Arial"/>
          <w:b w:val="0"/>
          <w:smallCaps w:val="0"/>
          <w:sz w:val="20"/>
          <w:szCs w:val="20"/>
          <w:u w:val="single"/>
        </w:rPr>
      </w:pPr>
      <w:bookmarkStart w:id="6" w:name="_tyjcwt" w:colFirst="0" w:colLast="0"/>
      <w:bookmarkEnd w:id="6"/>
      <w:r>
        <w:rPr>
          <w:rFonts w:ascii="Arial" w:eastAsia="Arial" w:hAnsi="Arial" w:cs="Arial"/>
          <w:b w:val="0"/>
          <w:smallCaps w:val="0"/>
          <w:sz w:val="20"/>
          <w:szCs w:val="20"/>
          <w:u w:val="single"/>
        </w:rPr>
        <w:t>Governance</w:t>
      </w:r>
    </w:p>
    <w:p w:rsidR="001F1B70" w:rsidRDefault="001F1B70">
      <w:pPr>
        <w:spacing w:after="4"/>
        <w:ind w:right="68"/>
      </w:pPr>
    </w:p>
    <w:p w:rsidR="001F1B70" w:rsidRDefault="00D67CA6">
      <w:pPr>
        <w:spacing w:after="4"/>
        <w:ind w:right="68"/>
      </w:pPr>
      <w:r>
        <w:t xml:space="preserve">The primary sponsor(s), such as a trade association, shall inform all eligible industry participants through association meetings, newsletters, email messages, and similar types of outreach, including public notices in the trade press publications. Confidential business information shall be collected by a third party. Data from the third party shall be aggregated with no trace to the original source of data. </w:t>
      </w:r>
    </w:p>
    <w:p w:rsidR="001F1B70" w:rsidRDefault="001F1B70">
      <w:pPr>
        <w:spacing w:after="4"/>
        <w:ind w:right="68"/>
      </w:pPr>
    </w:p>
    <w:p w:rsidR="001F1B70" w:rsidRDefault="00D67CA6">
      <w:pPr>
        <w:spacing w:after="4"/>
        <w:ind w:right="68"/>
      </w:pPr>
      <w:r>
        <w:t xml:space="preserve">The development of an </w:t>
      </w:r>
      <w:r w:rsidR="00811E40">
        <w:t>industry average</w:t>
      </w:r>
      <w:r>
        <w:t xml:space="preserve"> EPD and/or update of such an EPD should involve a series of meetings and exchanges in which all participants are invited and kept apprised of the developments. Advance notices as well as the minutes of these meetings shall be shared with all eligible participants regardless of whether they actively participate. These notices and meeting minutes should be preserved as documentation of the process and due diligence observed in the creation or renewal of the EPD.</w:t>
      </w:r>
    </w:p>
    <w:p w:rsidR="001F1B70" w:rsidRDefault="00D67CA6">
      <w:pPr>
        <w:pStyle w:val="Heading2"/>
        <w:rPr>
          <w:rFonts w:ascii="Arial" w:eastAsia="Arial" w:hAnsi="Arial" w:cs="Arial"/>
          <w:b w:val="0"/>
          <w:smallCaps w:val="0"/>
          <w:sz w:val="20"/>
          <w:szCs w:val="20"/>
          <w:u w:val="single"/>
        </w:rPr>
      </w:pPr>
      <w:bookmarkStart w:id="7" w:name="_3dy6vkm" w:colFirst="0" w:colLast="0"/>
      <w:bookmarkEnd w:id="7"/>
      <w:r>
        <w:rPr>
          <w:rFonts w:ascii="Arial" w:eastAsia="Arial" w:hAnsi="Arial" w:cs="Arial"/>
          <w:b w:val="0"/>
          <w:smallCaps w:val="0"/>
          <w:sz w:val="20"/>
          <w:szCs w:val="20"/>
          <w:u w:val="single"/>
        </w:rPr>
        <w:lastRenderedPageBreak/>
        <w:t>Data Responsibility/Ownership</w:t>
      </w:r>
    </w:p>
    <w:p w:rsidR="001F1B70" w:rsidRDefault="001F1B70">
      <w:pPr>
        <w:spacing w:after="4"/>
        <w:ind w:right="68"/>
      </w:pPr>
    </w:p>
    <w:p w:rsidR="001F1B70" w:rsidRDefault="00D67CA6">
      <w:r>
        <w:t xml:space="preserve">Primary sponsor(s) that lead the development of </w:t>
      </w:r>
      <w:r w:rsidR="00811E40">
        <w:t>industry average</w:t>
      </w:r>
      <w:r>
        <w:t xml:space="preserve"> EPDs may need to collect confidential business information. This data can include proprietary chemical formulations and processes or other confidential information. In this case, a designated third-party entity such as an LCA practitioner may be commissioned as the “industry agent”. The industry agent shall be responsible for activities including collection, secure storage and analysis of such data needed for the EPD development and will preserve the privacy of individual company information while executing these duties. </w:t>
      </w:r>
    </w:p>
    <w:p w:rsidR="001F1B70" w:rsidRDefault="00D67CA6">
      <w:pPr>
        <w:ind w:left="-5" w:right="37"/>
      </w:pPr>
      <w:r>
        <w:t xml:space="preserve">Refer to ISO 21930 Section 5.4 for ownership and development responsibilities of the EPD. </w:t>
      </w:r>
    </w:p>
    <w:p w:rsidR="001F1B70" w:rsidRDefault="00D67CA6">
      <w:pPr>
        <w:ind w:left="-5" w:right="37"/>
      </w:pPr>
      <w:r>
        <w:t>The group of manufacturers responsible for developing an industry-average EPD shall be responsible for, including but not limited to, ensuring industry-average EPD updates are made based on the most recent LCA modeling software version and impact assessment version available.</w:t>
      </w:r>
    </w:p>
    <w:p w:rsidR="001F1B70" w:rsidRDefault="00D67CA6">
      <w:pPr>
        <w:rPr>
          <w:sz w:val="20"/>
          <w:szCs w:val="20"/>
          <w:u w:val="single"/>
        </w:rPr>
      </w:pPr>
      <w:bookmarkStart w:id="8" w:name="_1t3h5sf" w:colFirst="0" w:colLast="0"/>
      <w:bookmarkEnd w:id="8"/>
      <w:r>
        <w:rPr>
          <w:sz w:val="20"/>
          <w:szCs w:val="20"/>
          <w:u w:val="single"/>
        </w:rPr>
        <w:t>Industry-Average EPD Updates</w:t>
      </w:r>
    </w:p>
    <w:p w:rsidR="001F1B70" w:rsidRDefault="00D67CA6">
      <w:pPr>
        <w:spacing w:after="4"/>
        <w:ind w:right="68"/>
      </w:pPr>
      <w:r>
        <w:rPr>
          <w:color w:val="000000"/>
        </w:rPr>
        <w:t xml:space="preserve">An update to the existing EPD, or new EPD, may need to be developed </w:t>
      </w:r>
      <w:r>
        <w:t xml:space="preserve">at the discretion of the primary sponsor(s) </w:t>
      </w:r>
      <w:r>
        <w:rPr>
          <w:color w:val="000000"/>
        </w:rPr>
        <w:t xml:space="preserve">prior to the five validity period years if </w:t>
      </w:r>
      <w:r>
        <w:t xml:space="preserve">any of the following have occurred: </w:t>
      </w:r>
    </w:p>
    <w:p w:rsidR="001F1B70" w:rsidRDefault="00D67CA6">
      <w:pPr>
        <w:spacing w:after="0" w:line="300" w:lineRule="auto"/>
        <w:ind w:left="720" w:right="60"/>
      </w:pPr>
      <w:r>
        <w:t xml:space="preserve">1) Significant changes in the manufacturing process; </w:t>
      </w:r>
    </w:p>
    <w:p w:rsidR="001F1B70" w:rsidRDefault="00D67CA6">
      <w:pPr>
        <w:spacing w:after="0" w:line="300" w:lineRule="auto"/>
        <w:ind w:left="720" w:right="60"/>
      </w:pPr>
      <w:r>
        <w:t>2) New manufacturers wish to participate but are disqualified for retroactive participation on the basis of data provided;</w:t>
      </w:r>
    </w:p>
    <w:p w:rsidR="001F1B70" w:rsidRDefault="00D67CA6">
      <w:pPr>
        <w:spacing w:after="0" w:line="300" w:lineRule="auto"/>
        <w:ind w:left="720" w:right="60"/>
      </w:pPr>
      <w:r>
        <w:t xml:space="preserve">3) Significant changes or alterations in raw materials; </w:t>
      </w:r>
    </w:p>
    <w:p w:rsidR="001F1B70" w:rsidRDefault="00D67CA6">
      <w:pPr>
        <w:spacing w:after="0" w:line="300" w:lineRule="auto"/>
        <w:ind w:left="720" w:right="60"/>
      </w:pPr>
      <w:r>
        <w:t xml:space="preserve">4) Major regulatory changes that mandate or trigger changes to operational procedures; or </w:t>
      </w:r>
    </w:p>
    <w:p w:rsidR="001F1B70" w:rsidRDefault="00D67CA6">
      <w:pPr>
        <w:spacing w:after="0" w:line="300" w:lineRule="auto"/>
        <w:ind w:left="720" w:right="60"/>
      </w:pPr>
      <w:r>
        <w:t>5) Major technological changes.</w:t>
      </w:r>
    </w:p>
    <w:p w:rsidR="001F1B70" w:rsidRDefault="001F1B70">
      <w:pPr>
        <w:spacing w:after="4"/>
        <w:ind w:right="68"/>
      </w:pPr>
    </w:p>
    <w:p w:rsidR="001F1B70" w:rsidRDefault="00D67CA6">
      <w:pPr>
        <w:spacing w:after="4"/>
        <w:ind w:right="68"/>
      </w:pPr>
      <w:r>
        <w:t xml:space="preserve">Additional companies may be added to an existing </w:t>
      </w:r>
      <w:r w:rsidR="00811E40">
        <w:t>industry average</w:t>
      </w:r>
      <w:r>
        <w:t xml:space="preserve"> EPD at the scheduled review by submitting data and having the industry average impacts recalculated.</w:t>
      </w:r>
    </w:p>
    <w:p w:rsidR="001F1B70" w:rsidRDefault="00D67CA6">
      <w:pPr>
        <w:spacing w:after="0" w:line="240" w:lineRule="auto"/>
      </w:pPr>
      <w:r>
        <w:br w:type="page"/>
      </w:r>
    </w:p>
    <w:p w:rsidR="001F1B70" w:rsidRDefault="00D67CA6">
      <w:pPr>
        <w:pStyle w:val="Heading1"/>
        <w:numPr>
          <w:ilvl w:val="0"/>
          <w:numId w:val="1"/>
        </w:numPr>
      </w:pPr>
      <w:r>
        <w:lastRenderedPageBreak/>
        <w:t>Content of the EPD</w:t>
      </w:r>
    </w:p>
    <w:tbl>
      <w:tblPr>
        <w:tblStyle w:val="a2"/>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4"/>
        <w:gridCol w:w="2334"/>
        <w:gridCol w:w="3710"/>
      </w:tblGrid>
      <w:tr w:rsidR="001F1B70">
        <w:trPr>
          <w:trHeight w:val="280"/>
        </w:trPr>
        <w:tc>
          <w:tcPr>
            <w:tcW w:w="3344" w:type="dxa"/>
            <w:vAlign w:val="center"/>
          </w:tcPr>
          <w:p w:rsidR="001F1B70" w:rsidRDefault="00D67CA6">
            <w:pPr>
              <w:widowControl w:val="0"/>
              <w:pBdr>
                <w:top w:val="nil"/>
                <w:left w:val="nil"/>
                <w:bottom w:val="nil"/>
                <w:right w:val="nil"/>
                <w:between w:val="nil"/>
              </w:pBdr>
              <w:rPr>
                <w:smallCaps/>
                <w:color w:val="000000"/>
                <w:sz w:val="16"/>
                <w:szCs w:val="16"/>
              </w:rPr>
            </w:pPr>
            <w:r>
              <w:rPr>
                <w:smallCaps/>
                <w:color w:val="000000"/>
                <w:sz w:val="16"/>
                <w:szCs w:val="16"/>
              </w:rPr>
              <w:t>EPD Program and Program Operator Name, Address, Logo, and Website</w:t>
            </w:r>
          </w:p>
        </w:tc>
        <w:tc>
          <w:tcPr>
            <w:tcW w:w="6044" w:type="dxa"/>
            <w:gridSpan w:val="2"/>
            <w:vAlign w:val="center"/>
          </w:tcPr>
          <w:p w:rsidR="001F1B70" w:rsidRDefault="00D67CA6">
            <w:pPr>
              <w:widowControl w:val="0"/>
              <w:pBdr>
                <w:top w:val="nil"/>
                <w:left w:val="nil"/>
                <w:bottom w:val="nil"/>
                <w:right w:val="nil"/>
                <w:between w:val="nil"/>
              </w:pBdr>
              <w:ind w:left="107"/>
              <w:rPr>
                <w:color w:val="000000"/>
                <w:sz w:val="16"/>
                <w:szCs w:val="16"/>
              </w:rPr>
            </w:pPr>
            <w:r>
              <w:rPr>
                <w:color w:val="000000"/>
                <w:sz w:val="16"/>
                <w:szCs w:val="16"/>
                <w:highlight w:val="darkGray"/>
              </w:rPr>
              <w:t>Program Operator Provided</w:t>
            </w:r>
          </w:p>
        </w:tc>
      </w:tr>
      <w:tr w:rsidR="001F1B70">
        <w:trPr>
          <w:trHeight w:val="280"/>
        </w:trPr>
        <w:tc>
          <w:tcPr>
            <w:tcW w:w="3344" w:type="dxa"/>
            <w:vAlign w:val="center"/>
          </w:tcPr>
          <w:p w:rsidR="001F1B70" w:rsidRDefault="00D67CA6">
            <w:pPr>
              <w:widowControl w:val="0"/>
              <w:pBdr>
                <w:top w:val="nil"/>
                <w:left w:val="nil"/>
                <w:bottom w:val="nil"/>
                <w:right w:val="nil"/>
                <w:between w:val="nil"/>
              </w:pBdr>
              <w:rPr>
                <w:smallCaps/>
                <w:color w:val="000000"/>
                <w:sz w:val="16"/>
                <w:szCs w:val="16"/>
              </w:rPr>
            </w:pPr>
            <w:r>
              <w:rPr>
                <w:smallCaps/>
                <w:color w:val="000000"/>
                <w:sz w:val="16"/>
                <w:szCs w:val="16"/>
              </w:rPr>
              <w:t xml:space="preserve">General Program Instructions </w:t>
            </w:r>
            <w:r>
              <w:rPr>
                <w:smallCaps/>
                <w:color w:val="000000"/>
                <w:sz w:val="16"/>
                <w:szCs w:val="16"/>
              </w:rPr>
              <w:br/>
              <w:t>and Version Number</w:t>
            </w:r>
          </w:p>
        </w:tc>
        <w:tc>
          <w:tcPr>
            <w:tcW w:w="6044" w:type="dxa"/>
            <w:gridSpan w:val="2"/>
            <w:vAlign w:val="center"/>
          </w:tcPr>
          <w:p w:rsidR="001F1B70" w:rsidRDefault="00D67CA6">
            <w:pPr>
              <w:widowControl w:val="0"/>
              <w:pBdr>
                <w:top w:val="nil"/>
                <w:left w:val="nil"/>
                <w:bottom w:val="nil"/>
                <w:right w:val="nil"/>
                <w:between w:val="nil"/>
              </w:pBdr>
              <w:ind w:left="107"/>
              <w:rPr>
                <w:color w:val="000000"/>
                <w:sz w:val="16"/>
                <w:szCs w:val="16"/>
                <w:highlight w:val="darkGray"/>
              </w:rPr>
            </w:pPr>
            <w:r>
              <w:rPr>
                <w:color w:val="000000"/>
                <w:sz w:val="16"/>
                <w:szCs w:val="16"/>
                <w:highlight w:val="darkGray"/>
              </w:rPr>
              <w:t>Program Operator Provided</w:t>
            </w:r>
          </w:p>
        </w:tc>
      </w:tr>
      <w:tr w:rsidR="001F1B70">
        <w:trPr>
          <w:trHeight w:val="320"/>
        </w:trPr>
        <w:tc>
          <w:tcPr>
            <w:tcW w:w="3344" w:type="dxa"/>
            <w:vAlign w:val="center"/>
          </w:tcPr>
          <w:p w:rsidR="001F1B70" w:rsidRDefault="00D67CA6">
            <w:pPr>
              <w:widowControl w:val="0"/>
              <w:pBdr>
                <w:top w:val="nil"/>
                <w:left w:val="nil"/>
                <w:bottom w:val="nil"/>
                <w:right w:val="nil"/>
                <w:between w:val="nil"/>
              </w:pBdr>
              <w:rPr>
                <w:smallCaps/>
                <w:color w:val="000000"/>
                <w:sz w:val="16"/>
                <w:szCs w:val="16"/>
              </w:rPr>
            </w:pPr>
            <w:r>
              <w:rPr>
                <w:smallCaps/>
                <w:color w:val="000000"/>
                <w:sz w:val="16"/>
                <w:szCs w:val="16"/>
              </w:rPr>
              <w:t>Manufacturer Name and Address</w:t>
            </w:r>
          </w:p>
        </w:tc>
        <w:tc>
          <w:tcPr>
            <w:tcW w:w="6044" w:type="dxa"/>
            <w:gridSpan w:val="2"/>
            <w:vAlign w:val="center"/>
          </w:tcPr>
          <w:p w:rsidR="001F1B70" w:rsidRDefault="001F1B70">
            <w:pPr>
              <w:widowControl w:val="0"/>
              <w:pBdr>
                <w:top w:val="nil"/>
                <w:left w:val="nil"/>
                <w:bottom w:val="nil"/>
                <w:right w:val="nil"/>
                <w:between w:val="nil"/>
              </w:pBdr>
              <w:ind w:left="107"/>
              <w:rPr>
                <w:color w:val="000000"/>
                <w:sz w:val="16"/>
                <w:szCs w:val="16"/>
              </w:rPr>
            </w:pPr>
          </w:p>
        </w:tc>
      </w:tr>
      <w:tr w:rsidR="001F1B70">
        <w:trPr>
          <w:trHeight w:val="260"/>
        </w:trPr>
        <w:tc>
          <w:tcPr>
            <w:tcW w:w="3344" w:type="dxa"/>
            <w:vAlign w:val="center"/>
          </w:tcPr>
          <w:p w:rsidR="001F1B70" w:rsidRDefault="00D67CA6">
            <w:pPr>
              <w:widowControl w:val="0"/>
              <w:pBdr>
                <w:top w:val="nil"/>
                <w:left w:val="nil"/>
                <w:bottom w:val="nil"/>
                <w:right w:val="nil"/>
                <w:between w:val="nil"/>
              </w:pBdr>
              <w:rPr>
                <w:smallCaps/>
                <w:color w:val="000000"/>
                <w:sz w:val="16"/>
                <w:szCs w:val="16"/>
              </w:rPr>
            </w:pPr>
            <w:r>
              <w:rPr>
                <w:smallCaps/>
                <w:color w:val="000000"/>
                <w:sz w:val="16"/>
                <w:szCs w:val="16"/>
              </w:rPr>
              <w:t>Declaration Number</w:t>
            </w:r>
          </w:p>
        </w:tc>
        <w:tc>
          <w:tcPr>
            <w:tcW w:w="6044" w:type="dxa"/>
            <w:gridSpan w:val="2"/>
            <w:vAlign w:val="center"/>
          </w:tcPr>
          <w:p w:rsidR="001F1B70" w:rsidRDefault="00D67CA6">
            <w:pPr>
              <w:widowControl w:val="0"/>
              <w:pBdr>
                <w:top w:val="nil"/>
                <w:left w:val="nil"/>
                <w:bottom w:val="nil"/>
                <w:right w:val="nil"/>
                <w:between w:val="nil"/>
              </w:pBdr>
              <w:ind w:left="101"/>
              <w:rPr>
                <w:color w:val="000000"/>
                <w:sz w:val="16"/>
                <w:szCs w:val="16"/>
              </w:rPr>
            </w:pPr>
            <w:r>
              <w:rPr>
                <w:color w:val="000000"/>
                <w:sz w:val="16"/>
                <w:szCs w:val="16"/>
                <w:highlight w:val="darkGray"/>
              </w:rPr>
              <w:t>Program Operator Provided</w:t>
            </w:r>
          </w:p>
        </w:tc>
      </w:tr>
      <w:tr w:rsidR="001F1B70">
        <w:trPr>
          <w:trHeight w:val="400"/>
        </w:trPr>
        <w:tc>
          <w:tcPr>
            <w:tcW w:w="3344" w:type="dxa"/>
            <w:vAlign w:val="center"/>
          </w:tcPr>
          <w:p w:rsidR="001F1B70" w:rsidRDefault="00D67CA6">
            <w:pPr>
              <w:widowControl w:val="0"/>
              <w:pBdr>
                <w:top w:val="nil"/>
                <w:left w:val="nil"/>
                <w:bottom w:val="nil"/>
                <w:right w:val="nil"/>
                <w:between w:val="nil"/>
              </w:pBdr>
              <w:rPr>
                <w:smallCaps/>
                <w:color w:val="000000"/>
                <w:sz w:val="16"/>
                <w:szCs w:val="16"/>
              </w:rPr>
            </w:pPr>
            <w:r>
              <w:rPr>
                <w:smallCaps/>
                <w:color w:val="000000"/>
                <w:sz w:val="16"/>
                <w:szCs w:val="16"/>
              </w:rPr>
              <w:t>Declared Product &amp; Functional Unit or Declared Unit</w:t>
            </w:r>
          </w:p>
        </w:tc>
        <w:tc>
          <w:tcPr>
            <w:tcW w:w="6044" w:type="dxa"/>
            <w:gridSpan w:val="2"/>
            <w:vAlign w:val="center"/>
          </w:tcPr>
          <w:p w:rsidR="001F1B70" w:rsidRDefault="001F1B70">
            <w:pPr>
              <w:widowControl w:val="0"/>
              <w:pBdr>
                <w:top w:val="nil"/>
                <w:left w:val="nil"/>
                <w:bottom w:val="nil"/>
                <w:right w:val="nil"/>
                <w:between w:val="nil"/>
              </w:pBdr>
              <w:ind w:left="107"/>
              <w:rPr>
                <w:color w:val="000000"/>
                <w:sz w:val="16"/>
                <w:szCs w:val="16"/>
              </w:rPr>
            </w:pPr>
          </w:p>
        </w:tc>
      </w:tr>
      <w:tr w:rsidR="001F1B70">
        <w:trPr>
          <w:trHeight w:val="280"/>
        </w:trPr>
        <w:tc>
          <w:tcPr>
            <w:tcW w:w="3344" w:type="dxa"/>
            <w:vAlign w:val="center"/>
          </w:tcPr>
          <w:p w:rsidR="001F1B70" w:rsidRDefault="00D67CA6">
            <w:pPr>
              <w:widowControl w:val="0"/>
              <w:pBdr>
                <w:top w:val="nil"/>
                <w:left w:val="nil"/>
                <w:bottom w:val="nil"/>
                <w:right w:val="nil"/>
                <w:between w:val="nil"/>
              </w:pBdr>
              <w:rPr>
                <w:smallCaps/>
                <w:color w:val="000000"/>
                <w:sz w:val="16"/>
                <w:szCs w:val="16"/>
              </w:rPr>
            </w:pPr>
            <w:r>
              <w:rPr>
                <w:smallCaps/>
                <w:color w:val="000000"/>
                <w:sz w:val="16"/>
                <w:szCs w:val="16"/>
              </w:rPr>
              <w:t>Reference PCR and Version Number</w:t>
            </w:r>
          </w:p>
        </w:tc>
        <w:tc>
          <w:tcPr>
            <w:tcW w:w="6044" w:type="dxa"/>
            <w:gridSpan w:val="2"/>
            <w:vAlign w:val="center"/>
          </w:tcPr>
          <w:p w:rsidR="001F1B70" w:rsidRDefault="001F1B70">
            <w:pPr>
              <w:widowControl w:val="0"/>
              <w:pBdr>
                <w:top w:val="nil"/>
                <w:left w:val="nil"/>
                <w:bottom w:val="nil"/>
                <w:right w:val="nil"/>
                <w:between w:val="nil"/>
              </w:pBdr>
              <w:ind w:left="107"/>
              <w:rPr>
                <w:color w:val="000000"/>
                <w:sz w:val="16"/>
                <w:szCs w:val="16"/>
              </w:rPr>
            </w:pPr>
          </w:p>
        </w:tc>
      </w:tr>
      <w:tr w:rsidR="001F1B70">
        <w:trPr>
          <w:trHeight w:val="300"/>
        </w:trPr>
        <w:tc>
          <w:tcPr>
            <w:tcW w:w="3344" w:type="dxa"/>
            <w:vAlign w:val="center"/>
          </w:tcPr>
          <w:p w:rsidR="001F1B70" w:rsidRDefault="00D67CA6">
            <w:pPr>
              <w:widowControl w:val="0"/>
              <w:pBdr>
                <w:top w:val="nil"/>
                <w:left w:val="nil"/>
                <w:bottom w:val="nil"/>
                <w:right w:val="nil"/>
                <w:between w:val="nil"/>
              </w:pBdr>
              <w:rPr>
                <w:smallCaps/>
                <w:color w:val="000000"/>
                <w:sz w:val="16"/>
                <w:szCs w:val="16"/>
              </w:rPr>
            </w:pPr>
            <w:r>
              <w:rPr>
                <w:smallCaps/>
                <w:color w:val="000000"/>
                <w:sz w:val="16"/>
                <w:szCs w:val="16"/>
              </w:rPr>
              <w:t>Description of product’s intended application and use</w:t>
            </w:r>
          </w:p>
        </w:tc>
        <w:tc>
          <w:tcPr>
            <w:tcW w:w="6044" w:type="dxa"/>
            <w:gridSpan w:val="2"/>
            <w:vAlign w:val="center"/>
          </w:tcPr>
          <w:p w:rsidR="001F1B70" w:rsidRDefault="001F1B70">
            <w:pPr>
              <w:widowControl w:val="0"/>
              <w:pBdr>
                <w:top w:val="nil"/>
                <w:left w:val="nil"/>
                <w:bottom w:val="nil"/>
                <w:right w:val="nil"/>
                <w:between w:val="nil"/>
              </w:pBdr>
              <w:ind w:left="107"/>
              <w:rPr>
                <w:color w:val="000000"/>
                <w:sz w:val="16"/>
                <w:szCs w:val="16"/>
              </w:rPr>
            </w:pPr>
          </w:p>
        </w:tc>
      </w:tr>
      <w:tr w:rsidR="001F1B70">
        <w:trPr>
          <w:trHeight w:val="300"/>
        </w:trPr>
        <w:tc>
          <w:tcPr>
            <w:tcW w:w="3344" w:type="dxa"/>
            <w:vAlign w:val="center"/>
          </w:tcPr>
          <w:p w:rsidR="001F1B70" w:rsidRDefault="00D67CA6">
            <w:pPr>
              <w:widowControl w:val="0"/>
              <w:pBdr>
                <w:top w:val="nil"/>
                <w:left w:val="nil"/>
                <w:bottom w:val="nil"/>
                <w:right w:val="nil"/>
                <w:between w:val="nil"/>
              </w:pBdr>
              <w:rPr>
                <w:smallCaps/>
                <w:color w:val="000000"/>
                <w:sz w:val="16"/>
                <w:szCs w:val="16"/>
              </w:rPr>
            </w:pPr>
            <w:r>
              <w:rPr>
                <w:smallCaps/>
                <w:color w:val="000000"/>
                <w:sz w:val="16"/>
                <w:szCs w:val="16"/>
              </w:rPr>
              <w:t>Product RSL Description (if Appl.)</w:t>
            </w:r>
          </w:p>
        </w:tc>
        <w:tc>
          <w:tcPr>
            <w:tcW w:w="6044" w:type="dxa"/>
            <w:gridSpan w:val="2"/>
            <w:vAlign w:val="center"/>
          </w:tcPr>
          <w:p w:rsidR="001F1B70" w:rsidRDefault="001F1B70">
            <w:pPr>
              <w:widowControl w:val="0"/>
              <w:pBdr>
                <w:top w:val="nil"/>
                <w:left w:val="nil"/>
                <w:bottom w:val="nil"/>
                <w:right w:val="nil"/>
                <w:between w:val="nil"/>
              </w:pBdr>
              <w:ind w:left="107"/>
              <w:rPr>
                <w:color w:val="000000"/>
                <w:sz w:val="16"/>
                <w:szCs w:val="16"/>
              </w:rPr>
            </w:pPr>
          </w:p>
        </w:tc>
      </w:tr>
      <w:tr w:rsidR="001F1B70">
        <w:trPr>
          <w:trHeight w:val="380"/>
        </w:trPr>
        <w:tc>
          <w:tcPr>
            <w:tcW w:w="3344" w:type="dxa"/>
            <w:vAlign w:val="center"/>
          </w:tcPr>
          <w:p w:rsidR="001F1B70" w:rsidRDefault="00D67CA6">
            <w:pPr>
              <w:widowControl w:val="0"/>
              <w:pBdr>
                <w:top w:val="nil"/>
                <w:left w:val="nil"/>
                <w:bottom w:val="nil"/>
                <w:right w:val="nil"/>
                <w:between w:val="nil"/>
              </w:pBdr>
              <w:rPr>
                <w:smallCaps/>
                <w:color w:val="000000"/>
                <w:sz w:val="16"/>
                <w:szCs w:val="16"/>
              </w:rPr>
            </w:pPr>
            <w:r>
              <w:rPr>
                <w:smallCaps/>
                <w:color w:val="000000"/>
                <w:sz w:val="16"/>
                <w:szCs w:val="16"/>
              </w:rPr>
              <w:t>Markets of Applicability</w:t>
            </w:r>
          </w:p>
        </w:tc>
        <w:tc>
          <w:tcPr>
            <w:tcW w:w="6044" w:type="dxa"/>
            <w:gridSpan w:val="2"/>
            <w:vAlign w:val="center"/>
          </w:tcPr>
          <w:p w:rsidR="001F1B70" w:rsidRDefault="001F1B70">
            <w:pPr>
              <w:widowControl w:val="0"/>
              <w:pBdr>
                <w:top w:val="nil"/>
                <w:left w:val="nil"/>
                <w:bottom w:val="nil"/>
                <w:right w:val="nil"/>
                <w:between w:val="nil"/>
              </w:pBdr>
              <w:ind w:left="107"/>
              <w:rPr>
                <w:color w:val="000000"/>
                <w:sz w:val="16"/>
                <w:szCs w:val="16"/>
                <w:highlight w:val="darkGray"/>
              </w:rPr>
            </w:pPr>
          </w:p>
        </w:tc>
      </w:tr>
      <w:tr w:rsidR="001F1B70">
        <w:trPr>
          <w:trHeight w:val="260"/>
        </w:trPr>
        <w:tc>
          <w:tcPr>
            <w:tcW w:w="3344" w:type="dxa"/>
            <w:vAlign w:val="center"/>
          </w:tcPr>
          <w:p w:rsidR="001F1B70" w:rsidRDefault="00D67CA6">
            <w:pPr>
              <w:widowControl w:val="0"/>
              <w:pBdr>
                <w:top w:val="nil"/>
                <w:left w:val="nil"/>
                <w:bottom w:val="nil"/>
                <w:right w:val="nil"/>
                <w:between w:val="nil"/>
              </w:pBdr>
              <w:rPr>
                <w:smallCaps/>
                <w:color w:val="000000"/>
                <w:sz w:val="16"/>
                <w:szCs w:val="16"/>
              </w:rPr>
            </w:pPr>
            <w:r>
              <w:rPr>
                <w:smallCaps/>
                <w:color w:val="000000"/>
                <w:sz w:val="16"/>
                <w:szCs w:val="16"/>
              </w:rPr>
              <w:t>Date of Issue</w:t>
            </w:r>
          </w:p>
        </w:tc>
        <w:tc>
          <w:tcPr>
            <w:tcW w:w="6044" w:type="dxa"/>
            <w:gridSpan w:val="2"/>
            <w:vAlign w:val="center"/>
          </w:tcPr>
          <w:p w:rsidR="001F1B70" w:rsidRDefault="00D67CA6">
            <w:pPr>
              <w:widowControl w:val="0"/>
              <w:pBdr>
                <w:top w:val="nil"/>
                <w:left w:val="nil"/>
                <w:bottom w:val="nil"/>
                <w:right w:val="nil"/>
                <w:between w:val="nil"/>
              </w:pBdr>
              <w:ind w:left="107"/>
              <w:rPr>
                <w:color w:val="000000"/>
                <w:sz w:val="16"/>
                <w:szCs w:val="16"/>
              </w:rPr>
            </w:pPr>
            <w:r>
              <w:rPr>
                <w:color w:val="000000"/>
                <w:sz w:val="16"/>
                <w:szCs w:val="16"/>
                <w:highlight w:val="darkGray"/>
              </w:rPr>
              <w:t>Program Operator Provided</w:t>
            </w:r>
          </w:p>
        </w:tc>
      </w:tr>
      <w:tr w:rsidR="001F1B70">
        <w:trPr>
          <w:trHeight w:val="260"/>
        </w:trPr>
        <w:tc>
          <w:tcPr>
            <w:tcW w:w="3344" w:type="dxa"/>
            <w:vAlign w:val="center"/>
          </w:tcPr>
          <w:p w:rsidR="001F1B70" w:rsidRDefault="00D67CA6">
            <w:pPr>
              <w:widowControl w:val="0"/>
              <w:pBdr>
                <w:top w:val="nil"/>
                <w:left w:val="nil"/>
                <w:bottom w:val="nil"/>
                <w:right w:val="nil"/>
                <w:between w:val="nil"/>
              </w:pBdr>
              <w:rPr>
                <w:smallCaps/>
                <w:color w:val="000000"/>
                <w:sz w:val="16"/>
                <w:szCs w:val="16"/>
              </w:rPr>
            </w:pPr>
            <w:r>
              <w:rPr>
                <w:smallCaps/>
                <w:color w:val="000000"/>
                <w:sz w:val="16"/>
                <w:szCs w:val="16"/>
              </w:rPr>
              <w:t>Period of Validity</w:t>
            </w:r>
          </w:p>
        </w:tc>
        <w:tc>
          <w:tcPr>
            <w:tcW w:w="6044" w:type="dxa"/>
            <w:gridSpan w:val="2"/>
            <w:vAlign w:val="center"/>
          </w:tcPr>
          <w:p w:rsidR="001F1B70" w:rsidRDefault="00D67CA6">
            <w:pPr>
              <w:widowControl w:val="0"/>
              <w:pBdr>
                <w:top w:val="nil"/>
                <w:left w:val="nil"/>
                <w:bottom w:val="nil"/>
                <w:right w:val="nil"/>
                <w:between w:val="nil"/>
              </w:pBdr>
              <w:ind w:left="107"/>
              <w:rPr>
                <w:color w:val="000000"/>
                <w:sz w:val="16"/>
                <w:szCs w:val="16"/>
              </w:rPr>
            </w:pPr>
            <w:r>
              <w:rPr>
                <w:color w:val="000000"/>
                <w:sz w:val="16"/>
                <w:szCs w:val="16"/>
                <w:highlight w:val="darkGray"/>
              </w:rPr>
              <w:t>Program Operator Provided</w:t>
            </w:r>
          </w:p>
        </w:tc>
      </w:tr>
      <w:tr w:rsidR="001F1B70">
        <w:trPr>
          <w:trHeight w:val="260"/>
        </w:trPr>
        <w:tc>
          <w:tcPr>
            <w:tcW w:w="3344" w:type="dxa"/>
            <w:vAlign w:val="center"/>
          </w:tcPr>
          <w:p w:rsidR="001F1B70" w:rsidRDefault="00D67CA6">
            <w:pPr>
              <w:widowControl w:val="0"/>
              <w:pBdr>
                <w:top w:val="nil"/>
                <w:left w:val="nil"/>
                <w:bottom w:val="nil"/>
                <w:right w:val="nil"/>
                <w:between w:val="nil"/>
              </w:pBdr>
              <w:rPr>
                <w:smallCaps/>
                <w:color w:val="000000"/>
                <w:sz w:val="16"/>
                <w:szCs w:val="16"/>
              </w:rPr>
            </w:pPr>
            <w:r>
              <w:rPr>
                <w:smallCaps/>
                <w:color w:val="000000"/>
                <w:sz w:val="16"/>
                <w:szCs w:val="16"/>
              </w:rPr>
              <w:t>EPD Type</w:t>
            </w:r>
          </w:p>
        </w:tc>
        <w:tc>
          <w:tcPr>
            <w:tcW w:w="6044" w:type="dxa"/>
            <w:gridSpan w:val="2"/>
            <w:vAlign w:val="center"/>
          </w:tcPr>
          <w:p w:rsidR="001F1B70" w:rsidRDefault="00D67CA6">
            <w:pPr>
              <w:widowControl w:val="0"/>
              <w:pBdr>
                <w:top w:val="nil"/>
                <w:left w:val="nil"/>
                <w:bottom w:val="nil"/>
                <w:right w:val="nil"/>
                <w:between w:val="nil"/>
              </w:pBdr>
              <w:ind w:left="107"/>
              <w:rPr>
                <w:color w:val="000000"/>
                <w:sz w:val="16"/>
                <w:szCs w:val="16"/>
              </w:rPr>
            </w:pPr>
            <w:r>
              <w:rPr>
                <w:color w:val="000000"/>
                <w:sz w:val="16"/>
                <w:szCs w:val="16"/>
              </w:rPr>
              <w:t>[Industry-average or product-specific]</w:t>
            </w:r>
          </w:p>
        </w:tc>
      </w:tr>
      <w:tr w:rsidR="001F1B70">
        <w:trPr>
          <w:trHeight w:val="260"/>
        </w:trPr>
        <w:tc>
          <w:tcPr>
            <w:tcW w:w="3344" w:type="dxa"/>
            <w:vAlign w:val="center"/>
          </w:tcPr>
          <w:p w:rsidR="001F1B70" w:rsidRDefault="00D67CA6">
            <w:pPr>
              <w:widowControl w:val="0"/>
              <w:pBdr>
                <w:top w:val="nil"/>
                <w:left w:val="nil"/>
                <w:bottom w:val="nil"/>
                <w:right w:val="nil"/>
                <w:between w:val="nil"/>
              </w:pBdr>
              <w:rPr>
                <w:smallCaps/>
                <w:color w:val="000000"/>
                <w:sz w:val="16"/>
                <w:szCs w:val="16"/>
              </w:rPr>
            </w:pPr>
            <w:r>
              <w:rPr>
                <w:smallCaps/>
                <w:color w:val="000000"/>
                <w:sz w:val="16"/>
                <w:szCs w:val="16"/>
              </w:rPr>
              <w:t>Dataset Variability</w:t>
            </w:r>
          </w:p>
        </w:tc>
        <w:tc>
          <w:tcPr>
            <w:tcW w:w="6044" w:type="dxa"/>
            <w:gridSpan w:val="2"/>
            <w:vAlign w:val="center"/>
          </w:tcPr>
          <w:p w:rsidR="001F1B70" w:rsidRDefault="00D67CA6">
            <w:pPr>
              <w:widowControl w:val="0"/>
              <w:pBdr>
                <w:top w:val="nil"/>
                <w:left w:val="nil"/>
                <w:bottom w:val="nil"/>
                <w:right w:val="nil"/>
                <w:between w:val="nil"/>
              </w:pBdr>
              <w:ind w:left="107"/>
              <w:rPr>
                <w:color w:val="000000"/>
                <w:sz w:val="16"/>
                <w:szCs w:val="16"/>
              </w:rPr>
            </w:pPr>
            <w:r>
              <w:rPr>
                <w:color w:val="000000"/>
                <w:sz w:val="16"/>
                <w:szCs w:val="16"/>
              </w:rPr>
              <w:t>[Industry-average only; mean, median, standard deviation]</w:t>
            </w:r>
          </w:p>
        </w:tc>
      </w:tr>
      <w:tr w:rsidR="001F1B70">
        <w:trPr>
          <w:trHeight w:val="260"/>
        </w:trPr>
        <w:tc>
          <w:tcPr>
            <w:tcW w:w="3344" w:type="dxa"/>
            <w:vAlign w:val="center"/>
          </w:tcPr>
          <w:p w:rsidR="001F1B70" w:rsidRDefault="00D67CA6">
            <w:pPr>
              <w:widowControl w:val="0"/>
              <w:pBdr>
                <w:top w:val="nil"/>
                <w:left w:val="nil"/>
                <w:bottom w:val="nil"/>
                <w:right w:val="nil"/>
                <w:between w:val="nil"/>
              </w:pBdr>
              <w:rPr>
                <w:smallCaps/>
                <w:color w:val="000000"/>
                <w:sz w:val="16"/>
                <w:szCs w:val="16"/>
              </w:rPr>
            </w:pPr>
            <w:r>
              <w:rPr>
                <w:smallCaps/>
                <w:color w:val="000000"/>
                <w:sz w:val="16"/>
                <w:szCs w:val="16"/>
              </w:rPr>
              <w:t>EPD Scope</w:t>
            </w:r>
          </w:p>
        </w:tc>
        <w:tc>
          <w:tcPr>
            <w:tcW w:w="6044" w:type="dxa"/>
            <w:gridSpan w:val="2"/>
            <w:vAlign w:val="center"/>
          </w:tcPr>
          <w:p w:rsidR="001F1B70" w:rsidRDefault="00D67CA6">
            <w:pPr>
              <w:widowControl w:val="0"/>
              <w:pBdr>
                <w:top w:val="nil"/>
                <w:left w:val="nil"/>
                <w:bottom w:val="nil"/>
                <w:right w:val="nil"/>
                <w:between w:val="nil"/>
              </w:pBdr>
              <w:ind w:left="107"/>
              <w:rPr>
                <w:color w:val="000000"/>
                <w:sz w:val="16"/>
                <w:szCs w:val="16"/>
                <w:highlight w:val="darkGray"/>
              </w:rPr>
            </w:pPr>
            <w:r>
              <w:rPr>
                <w:color w:val="000000"/>
                <w:sz w:val="16"/>
                <w:szCs w:val="16"/>
              </w:rPr>
              <w:t>[Cradle to gate, cradle to gate with options (specify options), or cradle to grave]</w:t>
            </w:r>
          </w:p>
        </w:tc>
      </w:tr>
      <w:tr w:rsidR="001F1B70">
        <w:trPr>
          <w:trHeight w:val="260"/>
        </w:trPr>
        <w:tc>
          <w:tcPr>
            <w:tcW w:w="3344" w:type="dxa"/>
            <w:vAlign w:val="center"/>
          </w:tcPr>
          <w:p w:rsidR="001F1B70" w:rsidRDefault="00D67CA6">
            <w:pPr>
              <w:widowControl w:val="0"/>
              <w:pBdr>
                <w:top w:val="nil"/>
                <w:left w:val="nil"/>
                <w:bottom w:val="nil"/>
                <w:right w:val="nil"/>
                <w:between w:val="nil"/>
              </w:pBdr>
              <w:rPr>
                <w:smallCaps/>
                <w:color w:val="000000"/>
                <w:sz w:val="16"/>
                <w:szCs w:val="16"/>
              </w:rPr>
            </w:pPr>
            <w:r>
              <w:rPr>
                <w:smallCaps/>
                <w:color w:val="000000"/>
                <w:sz w:val="16"/>
                <w:szCs w:val="16"/>
              </w:rPr>
              <w:t>Year(s) of reported manufacturer primary data</w:t>
            </w:r>
          </w:p>
        </w:tc>
        <w:tc>
          <w:tcPr>
            <w:tcW w:w="6044" w:type="dxa"/>
            <w:gridSpan w:val="2"/>
            <w:vAlign w:val="center"/>
          </w:tcPr>
          <w:p w:rsidR="001F1B70" w:rsidRDefault="001F1B70">
            <w:pPr>
              <w:widowControl w:val="0"/>
              <w:pBdr>
                <w:top w:val="nil"/>
                <w:left w:val="nil"/>
                <w:bottom w:val="nil"/>
                <w:right w:val="nil"/>
                <w:between w:val="nil"/>
              </w:pBdr>
              <w:ind w:left="107"/>
              <w:rPr>
                <w:color w:val="000000"/>
                <w:sz w:val="16"/>
                <w:szCs w:val="16"/>
              </w:rPr>
            </w:pPr>
          </w:p>
        </w:tc>
      </w:tr>
      <w:tr w:rsidR="001F1B70">
        <w:trPr>
          <w:trHeight w:val="260"/>
        </w:trPr>
        <w:tc>
          <w:tcPr>
            <w:tcW w:w="3344" w:type="dxa"/>
            <w:vAlign w:val="center"/>
          </w:tcPr>
          <w:p w:rsidR="001F1B70" w:rsidRDefault="00D67CA6">
            <w:pPr>
              <w:widowControl w:val="0"/>
              <w:pBdr>
                <w:top w:val="nil"/>
                <w:left w:val="nil"/>
                <w:bottom w:val="nil"/>
                <w:right w:val="nil"/>
                <w:between w:val="nil"/>
              </w:pBdr>
              <w:rPr>
                <w:smallCaps/>
                <w:color w:val="000000"/>
                <w:sz w:val="16"/>
                <w:szCs w:val="16"/>
              </w:rPr>
            </w:pPr>
            <w:r>
              <w:rPr>
                <w:smallCaps/>
                <w:color w:val="000000"/>
                <w:sz w:val="16"/>
                <w:szCs w:val="16"/>
              </w:rPr>
              <w:t>LCA Software &amp; Version Number</w:t>
            </w:r>
          </w:p>
        </w:tc>
        <w:tc>
          <w:tcPr>
            <w:tcW w:w="6044" w:type="dxa"/>
            <w:gridSpan w:val="2"/>
            <w:vAlign w:val="center"/>
          </w:tcPr>
          <w:p w:rsidR="001F1B70" w:rsidRDefault="001F1B70">
            <w:pPr>
              <w:widowControl w:val="0"/>
              <w:pBdr>
                <w:top w:val="nil"/>
                <w:left w:val="nil"/>
                <w:bottom w:val="nil"/>
                <w:right w:val="nil"/>
                <w:between w:val="nil"/>
              </w:pBdr>
              <w:ind w:left="107"/>
              <w:rPr>
                <w:color w:val="000000"/>
                <w:sz w:val="16"/>
                <w:szCs w:val="16"/>
              </w:rPr>
            </w:pPr>
          </w:p>
        </w:tc>
      </w:tr>
      <w:tr w:rsidR="001F1B70">
        <w:trPr>
          <w:trHeight w:val="260"/>
        </w:trPr>
        <w:tc>
          <w:tcPr>
            <w:tcW w:w="3344" w:type="dxa"/>
            <w:vAlign w:val="center"/>
          </w:tcPr>
          <w:p w:rsidR="001F1B70" w:rsidRDefault="00D67CA6">
            <w:pPr>
              <w:widowControl w:val="0"/>
              <w:pBdr>
                <w:top w:val="nil"/>
                <w:left w:val="nil"/>
                <w:bottom w:val="nil"/>
                <w:right w:val="nil"/>
                <w:between w:val="nil"/>
              </w:pBdr>
              <w:rPr>
                <w:smallCaps/>
                <w:color w:val="000000"/>
                <w:sz w:val="16"/>
                <w:szCs w:val="16"/>
              </w:rPr>
            </w:pPr>
            <w:r>
              <w:rPr>
                <w:smallCaps/>
                <w:color w:val="000000"/>
                <w:sz w:val="16"/>
                <w:szCs w:val="16"/>
              </w:rPr>
              <w:t>LCI Database(s) &amp; Version Number</w:t>
            </w:r>
          </w:p>
        </w:tc>
        <w:tc>
          <w:tcPr>
            <w:tcW w:w="6044" w:type="dxa"/>
            <w:gridSpan w:val="2"/>
            <w:vAlign w:val="center"/>
          </w:tcPr>
          <w:p w:rsidR="001F1B70" w:rsidRDefault="001F1B70">
            <w:pPr>
              <w:widowControl w:val="0"/>
              <w:pBdr>
                <w:top w:val="nil"/>
                <w:left w:val="nil"/>
                <w:bottom w:val="nil"/>
                <w:right w:val="nil"/>
                <w:between w:val="nil"/>
              </w:pBdr>
              <w:ind w:left="107"/>
              <w:rPr>
                <w:color w:val="000000"/>
                <w:sz w:val="16"/>
                <w:szCs w:val="16"/>
              </w:rPr>
            </w:pPr>
          </w:p>
        </w:tc>
      </w:tr>
      <w:tr w:rsidR="001F1B70">
        <w:trPr>
          <w:trHeight w:val="260"/>
        </w:trPr>
        <w:tc>
          <w:tcPr>
            <w:tcW w:w="3344" w:type="dxa"/>
            <w:vAlign w:val="center"/>
          </w:tcPr>
          <w:p w:rsidR="001F1B70" w:rsidRDefault="00D67CA6">
            <w:pPr>
              <w:widowControl w:val="0"/>
              <w:pBdr>
                <w:top w:val="nil"/>
                <w:left w:val="nil"/>
                <w:bottom w:val="nil"/>
                <w:right w:val="nil"/>
                <w:between w:val="nil"/>
              </w:pBdr>
              <w:rPr>
                <w:smallCaps/>
                <w:color w:val="000000"/>
                <w:sz w:val="16"/>
                <w:szCs w:val="16"/>
              </w:rPr>
            </w:pPr>
            <w:r>
              <w:rPr>
                <w:smallCaps/>
                <w:color w:val="000000"/>
                <w:sz w:val="16"/>
                <w:szCs w:val="16"/>
              </w:rPr>
              <w:t>LCIA Methodology &amp; Version Number</w:t>
            </w:r>
          </w:p>
        </w:tc>
        <w:tc>
          <w:tcPr>
            <w:tcW w:w="6044" w:type="dxa"/>
            <w:gridSpan w:val="2"/>
            <w:vAlign w:val="center"/>
          </w:tcPr>
          <w:p w:rsidR="001F1B70" w:rsidRDefault="001F1B70">
            <w:pPr>
              <w:widowControl w:val="0"/>
              <w:pBdr>
                <w:top w:val="nil"/>
                <w:left w:val="nil"/>
                <w:bottom w:val="nil"/>
                <w:right w:val="nil"/>
                <w:between w:val="nil"/>
              </w:pBdr>
              <w:ind w:left="107"/>
              <w:rPr>
                <w:color w:val="000000"/>
                <w:sz w:val="16"/>
                <w:szCs w:val="16"/>
              </w:rPr>
            </w:pPr>
          </w:p>
        </w:tc>
      </w:tr>
      <w:tr w:rsidR="001F1B70">
        <w:trPr>
          <w:trHeight w:val="280"/>
        </w:trPr>
        <w:tc>
          <w:tcPr>
            <w:tcW w:w="5678" w:type="dxa"/>
            <w:gridSpan w:val="2"/>
            <w:vMerge w:val="restart"/>
            <w:vAlign w:val="center"/>
          </w:tcPr>
          <w:p w:rsidR="001F1B70" w:rsidRDefault="00D67CA6">
            <w:pPr>
              <w:widowControl w:val="0"/>
              <w:pBdr>
                <w:top w:val="nil"/>
                <w:left w:val="nil"/>
                <w:bottom w:val="nil"/>
                <w:right w:val="nil"/>
                <w:between w:val="nil"/>
              </w:pBdr>
              <w:spacing w:before="120"/>
              <w:rPr>
                <w:color w:val="000000"/>
                <w:sz w:val="16"/>
                <w:szCs w:val="16"/>
              </w:rPr>
            </w:pPr>
            <w:r>
              <w:rPr>
                <w:color w:val="000000"/>
                <w:sz w:val="16"/>
                <w:szCs w:val="16"/>
              </w:rPr>
              <w:t>The sub-category PCR review was conducted by:</w:t>
            </w:r>
          </w:p>
        </w:tc>
        <w:tc>
          <w:tcPr>
            <w:tcW w:w="3710" w:type="dxa"/>
            <w:vAlign w:val="center"/>
          </w:tcPr>
          <w:p w:rsidR="001F1B70" w:rsidRDefault="00D67CA6">
            <w:pPr>
              <w:widowControl w:val="0"/>
              <w:pBdr>
                <w:top w:val="nil"/>
                <w:left w:val="nil"/>
                <w:bottom w:val="nil"/>
                <w:right w:val="nil"/>
                <w:between w:val="nil"/>
              </w:pBdr>
              <w:ind w:left="83"/>
              <w:rPr>
                <w:color w:val="000000"/>
                <w:sz w:val="16"/>
                <w:szCs w:val="16"/>
              </w:rPr>
            </w:pPr>
            <w:r>
              <w:rPr>
                <w:color w:val="000000"/>
                <w:sz w:val="16"/>
                <w:szCs w:val="16"/>
                <w:highlight w:val="darkGray"/>
              </w:rPr>
              <w:t>Program Operator Provided</w:t>
            </w:r>
          </w:p>
        </w:tc>
      </w:tr>
      <w:tr w:rsidR="001F1B70">
        <w:trPr>
          <w:trHeight w:val="280"/>
        </w:trPr>
        <w:tc>
          <w:tcPr>
            <w:tcW w:w="5678" w:type="dxa"/>
            <w:gridSpan w:val="2"/>
            <w:vMerge/>
            <w:vAlign w:val="center"/>
          </w:tcPr>
          <w:p w:rsidR="001F1B70" w:rsidRDefault="001F1B70">
            <w:pPr>
              <w:widowControl w:val="0"/>
              <w:pBdr>
                <w:top w:val="nil"/>
                <w:left w:val="nil"/>
                <w:bottom w:val="nil"/>
                <w:right w:val="nil"/>
                <w:between w:val="nil"/>
              </w:pBdr>
              <w:spacing w:line="276" w:lineRule="auto"/>
              <w:rPr>
                <w:color w:val="000000"/>
                <w:sz w:val="16"/>
                <w:szCs w:val="16"/>
              </w:rPr>
            </w:pPr>
          </w:p>
        </w:tc>
        <w:tc>
          <w:tcPr>
            <w:tcW w:w="3710" w:type="dxa"/>
            <w:vAlign w:val="center"/>
          </w:tcPr>
          <w:p w:rsidR="001F1B70" w:rsidRDefault="00D67CA6">
            <w:pPr>
              <w:widowControl w:val="0"/>
              <w:pBdr>
                <w:top w:val="nil"/>
                <w:left w:val="nil"/>
                <w:bottom w:val="nil"/>
                <w:right w:val="nil"/>
                <w:between w:val="nil"/>
              </w:pBdr>
              <w:ind w:left="83"/>
              <w:rPr>
                <w:color w:val="000000"/>
                <w:sz w:val="16"/>
                <w:szCs w:val="16"/>
              </w:rPr>
            </w:pPr>
            <w:r>
              <w:rPr>
                <w:color w:val="000000"/>
                <w:sz w:val="16"/>
                <w:szCs w:val="16"/>
                <w:highlight w:val="darkGray"/>
              </w:rPr>
              <w:t>Program Operator Provided</w:t>
            </w:r>
          </w:p>
        </w:tc>
      </w:tr>
      <w:tr w:rsidR="001F1B70">
        <w:trPr>
          <w:trHeight w:val="80"/>
        </w:trPr>
        <w:tc>
          <w:tcPr>
            <w:tcW w:w="5678" w:type="dxa"/>
            <w:gridSpan w:val="2"/>
            <w:vMerge/>
            <w:vAlign w:val="center"/>
          </w:tcPr>
          <w:p w:rsidR="001F1B70" w:rsidRDefault="001F1B70">
            <w:pPr>
              <w:widowControl w:val="0"/>
              <w:pBdr>
                <w:top w:val="nil"/>
                <w:left w:val="nil"/>
                <w:bottom w:val="nil"/>
                <w:right w:val="nil"/>
                <w:between w:val="nil"/>
              </w:pBdr>
              <w:spacing w:line="276" w:lineRule="auto"/>
              <w:rPr>
                <w:color w:val="000000"/>
                <w:sz w:val="16"/>
                <w:szCs w:val="16"/>
              </w:rPr>
            </w:pPr>
          </w:p>
        </w:tc>
        <w:tc>
          <w:tcPr>
            <w:tcW w:w="3710" w:type="dxa"/>
            <w:vAlign w:val="center"/>
          </w:tcPr>
          <w:p w:rsidR="001F1B70" w:rsidRDefault="00D67CA6">
            <w:pPr>
              <w:widowControl w:val="0"/>
              <w:pBdr>
                <w:top w:val="nil"/>
                <w:left w:val="nil"/>
                <w:bottom w:val="nil"/>
                <w:right w:val="nil"/>
                <w:between w:val="nil"/>
              </w:pBdr>
              <w:ind w:left="83"/>
              <w:rPr>
                <w:color w:val="000000"/>
                <w:sz w:val="16"/>
                <w:szCs w:val="16"/>
              </w:rPr>
            </w:pPr>
            <w:r>
              <w:rPr>
                <w:color w:val="000000"/>
                <w:sz w:val="16"/>
                <w:szCs w:val="16"/>
                <w:highlight w:val="darkGray"/>
              </w:rPr>
              <w:t>Program Operator Provided</w:t>
            </w:r>
          </w:p>
        </w:tc>
      </w:tr>
      <w:tr w:rsidR="001F1B70">
        <w:trPr>
          <w:trHeight w:val="760"/>
        </w:trPr>
        <w:tc>
          <w:tcPr>
            <w:tcW w:w="5678" w:type="dxa"/>
            <w:gridSpan w:val="2"/>
            <w:vMerge w:val="restart"/>
          </w:tcPr>
          <w:p w:rsidR="001F1B70" w:rsidRDefault="00D67CA6">
            <w:pPr>
              <w:widowControl w:val="0"/>
              <w:pBdr>
                <w:top w:val="nil"/>
                <w:left w:val="nil"/>
                <w:bottom w:val="nil"/>
                <w:right w:val="nil"/>
                <w:between w:val="nil"/>
              </w:pBdr>
              <w:rPr>
                <w:color w:val="000000"/>
                <w:sz w:val="16"/>
                <w:szCs w:val="16"/>
              </w:rPr>
            </w:pPr>
            <w:r>
              <w:rPr>
                <w:color w:val="000000"/>
                <w:sz w:val="16"/>
                <w:szCs w:val="16"/>
              </w:rPr>
              <w:t>This declaration was independently verified in accordance with ISO 14025: 2006. The UL Environment “Part A: Calculation Rules for the Life Cycle Assessment and Requirements on the Project Report,” v3.2 (December 2018), in conformance with ISO 21930:2017, serves as the core PCR, with additional considerations from the USGBC/UL Environment Part A Enhancement (2017)</w:t>
            </w:r>
            <w:r>
              <w:rPr>
                <w:color w:val="000000"/>
                <w:sz w:val="16"/>
                <w:szCs w:val="16"/>
              </w:rPr>
              <w:br/>
              <w:t xml:space="preserve">  </w:t>
            </w:r>
            <w:r>
              <w:rPr>
                <w:rFonts w:ascii="Arial Unicode MS" w:eastAsia="Arial Unicode MS" w:hAnsi="Arial Unicode MS" w:cs="Arial Unicode MS"/>
                <w:color w:val="000000"/>
                <w:sz w:val="16"/>
                <w:szCs w:val="16"/>
              </w:rPr>
              <w:t>☐</w:t>
            </w:r>
            <w:r>
              <w:rPr>
                <w:color w:val="000000"/>
                <w:sz w:val="16"/>
                <w:szCs w:val="16"/>
              </w:rPr>
              <w:t xml:space="preserve"> INTERNAL                              </w:t>
            </w:r>
            <w:r>
              <w:rPr>
                <w:rFonts w:ascii="Arial Unicode MS" w:eastAsia="Arial Unicode MS" w:hAnsi="Arial Unicode MS" w:cs="Arial Unicode MS"/>
                <w:color w:val="000000"/>
                <w:sz w:val="16"/>
                <w:szCs w:val="16"/>
              </w:rPr>
              <w:t>☐</w:t>
            </w:r>
            <w:r>
              <w:rPr>
                <w:color w:val="000000"/>
                <w:sz w:val="16"/>
                <w:szCs w:val="16"/>
              </w:rPr>
              <w:t xml:space="preserve">  EXTERNAL</w:t>
            </w:r>
          </w:p>
        </w:tc>
        <w:tc>
          <w:tcPr>
            <w:tcW w:w="3710" w:type="dxa"/>
            <w:vAlign w:val="center"/>
          </w:tcPr>
          <w:p w:rsidR="001F1B70" w:rsidRDefault="001F1B70">
            <w:pPr>
              <w:widowControl w:val="0"/>
              <w:pBdr>
                <w:top w:val="nil"/>
                <w:left w:val="nil"/>
                <w:bottom w:val="nil"/>
                <w:right w:val="nil"/>
                <w:between w:val="nil"/>
              </w:pBdr>
              <w:jc w:val="center"/>
              <w:rPr>
                <w:color w:val="C00000"/>
                <w:sz w:val="16"/>
                <w:szCs w:val="16"/>
              </w:rPr>
            </w:pPr>
          </w:p>
        </w:tc>
      </w:tr>
      <w:tr w:rsidR="001F1B70">
        <w:trPr>
          <w:trHeight w:val="20"/>
        </w:trPr>
        <w:tc>
          <w:tcPr>
            <w:tcW w:w="5678" w:type="dxa"/>
            <w:gridSpan w:val="2"/>
            <w:vMerge/>
          </w:tcPr>
          <w:p w:rsidR="001F1B70" w:rsidRDefault="001F1B70">
            <w:pPr>
              <w:widowControl w:val="0"/>
              <w:pBdr>
                <w:top w:val="nil"/>
                <w:left w:val="nil"/>
                <w:bottom w:val="nil"/>
                <w:right w:val="nil"/>
                <w:between w:val="nil"/>
              </w:pBdr>
              <w:spacing w:line="276" w:lineRule="auto"/>
              <w:rPr>
                <w:color w:val="C00000"/>
                <w:sz w:val="16"/>
                <w:szCs w:val="16"/>
              </w:rPr>
            </w:pPr>
          </w:p>
        </w:tc>
        <w:tc>
          <w:tcPr>
            <w:tcW w:w="3710" w:type="dxa"/>
            <w:vAlign w:val="center"/>
          </w:tcPr>
          <w:p w:rsidR="001F1B70" w:rsidRDefault="00D67CA6">
            <w:pPr>
              <w:widowControl w:val="0"/>
              <w:pBdr>
                <w:top w:val="nil"/>
                <w:left w:val="nil"/>
                <w:bottom w:val="nil"/>
                <w:right w:val="nil"/>
                <w:between w:val="nil"/>
              </w:pBdr>
              <w:ind w:left="83"/>
              <w:rPr>
                <w:color w:val="000000"/>
                <w:sz w:val="16"/>
                <w:szCs w:val="16"/>
              </w:rPr>
            </w:pPr>
            <w:r>
              <w:rPr>
                <w:color w:val="000000"/>
                <w:sz w:val="16"/>
                <w:szCs w:val="16"/>
                <w:highlight w:val="darkGray"/>
              </w:rPr>
              <w:t>Program Operator Provided</w:t>
            </w:r>
          </w:p>
        </w:tc>
      </w:tr>
      <w:tr w:rsidR="001F1B70">
        <w:trPr>
          <w:trHeight w:val="440"/>
        </w:trPr>
        <w:tc>
          <w:tcPr>
            <w:tcW w:w="5678" w:type="dxa"/>
            <w:gridSpan w:val="2"/>
            <w:vMerge w:val="restart"/>
            <w:vAlign w:val="center"/>
          </w:tcPr>
          <w:p w:rsidR="001F1B70" w:rsidRDefault="00D67CA6">
            <w:pPr>
              <w:widowControl w:val="0"/>
              <w:pBdr>
                <w:top w:val="nil"/>
                <w:left w:val="nil"/>
                <w:bottom w:val="nil"/>
                <w:right w:val="nil"/>
                <w:between w:val="nil"/>
              </w:pBdr>
              <w:spacing w:before="120"/>
              <w:rPr>
                <w:color w:val="000000"/>
                <w:sz w:val="16"/>
                <w:szCs w:val="16"/>
              </w:rPr>
            </w:pPr>
            <w:r>
              <w:rPr>
                <w:color w:val="000000"/>
                <w:sz w:val="16"/>
                <w:szCs w:val="16"/>
              </w:rPr>
              <w:t>This life cycle assessment was conducted in accordance with ISO 14044 and the reference PCR by:</w:t>
            </w:r>
          </w:p>
        </w:tc>
        <w:tc>
          <w:tcPr>
            <w:tcW w:w="3710" w:type="dxa"/>
            <w:vAlign w:val="center"/>
          </w:tcPr>
          <w:p w:rsidR="001F1B70" w:rsidRDefault="001F1B70">
            <w:pPr>
              <w:widowControl w:val="0"/>
              <w:pBdr>
                <w:top w:val="nil"/>
                <w:left w:val="nil"/>
                <w:bottom w:val="nil"/>
                <w:right w:val="nil"/>
                <w:between w:val="nil"/>
              </w:pBdr>
              <w:ind w:left="83"/>
              <w:jc w:val="center"/>
              <w:rPr>
                <w:color w:val="C00000"/>
                <w:sz w:val="16"/>
                <w:szCs w:val="16"/>
              </w:rPr>
            </w:pPr>
          </w:p>
        </w:tc>
      </w:tr>
      <w:tr w:rsidR="001F1B70">
        <w:trPr>
          <w:trHeight w:val="20"/>
        </w:trPr>
        <w:tc>
          <w:tcPr>
            <w:tcW w:w="5678" w:type="dxa"/>
            <w:gridSpan w:val="2"/>
            <w:vMerge/>
            <w:vAlign w:val="center"/>
          </w:tcPr>
          <w:p w:rsidR="001F1B70" w:rsidRDefault="001F1B70">
            <w:pPr>
              <w:widowControl w:val="0"/>
              <w:pBdr>
                <w:top w:val="nil"/>
                <w:left w:val="nil"/>
                <w:bottom w:val="nil"/>
                <w:right w:val="nil"/>
                <w:between w:val="nil"/>
              </w:pBdr>
              <w:spacing w:line="276" w:lineRule="auto"/>
              <w:rPr>
                <w:color w:val="C00000"/>
                <w:sz w:val="16"/>
                <w:szCs w:val="16"/>
              </w:rPr>
            </w:pPr>
          </w:p>
        </w:tc>
        <w:tc>
          <w:tcPr>
            <w:tcW w:w="3710" w:type="dxa"/>
            <w:vAlign w:val="center"/>
          </w:tcPr>
          <w:p w:rsidR="001F1B70" w:rsidRDefault="00D67CA6">
            <w:pPr>
              <w:widowControl w:val="0"/>
              <w:pBdr>
                <w:top w:val="nil"/>
                <w:left w:val="nil"/>
                <w:bottom w:val="nil"/>
                <w:right w:val="nil"/>
                <w:between w:val="nil"/>
              </w:pBdr>
              <w:ind w:left="83"/>
              <w:rPr>
                <w:color w:val="C00000"/>
                <w:sz w:val="16"/>
                <w:szCs w:val="16"/>
              </w:rPr>
            </w:pPr>
            <w:r>
              <w:rPr>
                <w:color w:val="000000"/>
                <w:sz w:val="16"/>
                <w:szCs w:val="16"/>
                <w:highlight w:val="darkGray"/>
              </w:rPr>
              <w:t>Program Operator Provided</w:t>
            </w:r>
          </w:p>
        </w:tc>
      </w:tr>
      <w:tr w:rsidR="001F1B70">
        <w:trPr>
          <w:trHeight w:val="420"/>
        </w:trPr>
        <w:tc>
          <w:tcPr>
            <w:tcW w:w="5678" w:type="dxa"/>
            <w:gridSpan w:val="2"/>
            <w:vMerge w:val="restart"/>
            <w:vAlign w:val="center"/>
          </w:tcPr>
          <w:p w:rsidR="001F1B70" w:rsidRDefault="00D67CA6">
            <w:pPr>
              <w:widowControl w:val="0"/>
              <w:pBdr>
                <w:top w:val="nil"/>
                <w:left w:val="nil"/>
                <w:bottom w:val="nil"/>
                <w:right w:val="nil"/>
                <w:between w:val="nil"/>
              </w:pBdr>
              <w:rPr>
                <w:color w:val="000000"/>
                <w:sz w:val="16"/>
                <w:szCs w:val="16"/>
              </w:rPr>
            </w:pPr>
            <w:r>
              <w:rPr>
                <w:color w:val="000000"/>
                <w:sz w:val="16"/>
                <w:szCs w:val="16"/>
              </w:rPr>
              <w:t>This life cycle assessment was independently verified in accordance with ISO 14044 and the reference PCR by:</w:t>
            </w:r>
          </w:p>
        </w:tc>
        <w:tc>
          <w:tcPr>
            <w:tcW w:w="3710" w:type="dxa"/>
            <w:vAlign w:val="center"/>
          </w:tcPr>
          <w:p w:rsidR="001F1B70" w:rsidRDefault="001F1B70">
            <w:pPr>
              <w:widowControl w:val="0"/>
              <w:pBdr>
                <w:top w:val="nil"/>
                <w:left w:val="nil"/>
                <w:bottom w:val="nil"/>
                <w:right w:val="nil"/>
                <w:between w:val="nil"/>
              </w:pBdr>
              <w:ind w:left="83"/>
              <w:jc w:val="center"/>
              <w:rPr>
                <w:color w:val="C00000"/>
                <w:sz w:val="16"/>
                <w:szCs w:val="16"/>
              </w:rPr>
            </w:pPr>
          </w:p>
        </w:tc>
      </w:tr>
      <w:tr w:rsidR="001F1B70">
        <w:trPr>
          <w:trHeight w:val="420"/>
        </w:trPr>
        <w:tc>
          <w:tcPr>
            <w:tcW w:w="5678" w:type="dxa"/>
            <w:gridSpan w:val="2"/>
            <w:vMerge/>
            <w:vAlign w:val="center"/>
          </w:tcPr>
          <w:p w:rsidR="001F1B70" w:rsidRDefault="001F1B70">
            <w:pPr>
              <w:widowControl w:val="0"/>
              <w:pBdr>
                <w:top w:val="nil"/>
                <w:left w:val="nil"/>
                <w:bottom w:val="nil"/>
                <w:right w:val="nil"/>
                <w:between w:val="nil"/>
              </w:pBdr>
              <w:spacing w:line="276" w:lineRule="auto"/>
              <w:rPr>
                <w:color w:val="C00000"/>
                <w:sz w:val="16"/>
                <w:szCs w:val="16"/>
              </w:rPr>
            </w:pPr>
          </w:p>
        </w:tc>
        <w:tc>
          <w:tcPr>
            <w:tcW w:w="3710" w:type="dxa"/>
            <w:vAlign w:val="center"/>
          </w:tcPr>
          <w:p w:rsidR="001F1B70" w:rsidRDefault="00D67CA6">
            <w:pPr>
              <w:widowControl w:val="0"/>
              <w:pBdr>
                <w:top w:val="nil"/>
                <w:left w:val="nil"/>
                <w:bottom w:val="nil"/>
                <w:right w:val="nil"/>
                <w:between w:val="nil"/>
              </w:pBdr>
              <w:ind w:left="83"/>
              <w:rPr>
                <w:color w:val="000000"/>
                <w:sz w:val="16"/>
                <w:szCs w:val="16"/>
              </w:rPr>
            </w:pPr>
            <w:r>
              <w:rPr>
                <w:color w:val="000000"/>
                <w:sz w:val="16"/>
                <w:szCs w:val="16"/>
                <w:highlight w:val="darkGray"/>
              </w:rPr>
              <w:t>Program Operator Provided</w:t>
            </w:r>
          </w:p>
        </w:tc>
      </w:tr>
      <w:tr w:rsidR="001F1B70">
        <w:trPr>
          <w:trHeight w:val="280"/>
        </w:trPr>
        <w:tc>
          <w:tcPr>
            <w:tcW w:w="9388" w:type="dxa"/>
            <w:gridSpan w:val="3"/>
          </w:tcPr>
          <w:p w:rsidR="001F1B70" w:rsidRDefault="00D67CA6">
            <w:pPr>
              <w:widowControl w:val="0"/>
              <w:pBdr>
                <w:top w:val="nil"/>
                <w:left w:val="nil"/>
                <w:bottom w:val="nil"/>
                <w:right w:val="nil"/>
                <w:between w:val="nil"/>
              </w:pBdr>
              <w:rPr>
                <w:smallCaps/>
                <w:color w:val="000000"/>
                <w:sz w:val="16"/>
                <w:szCs w:val="16"/>
              </w:rPr>
            </w:pPr>
            <w:r>
              <w:rPr>
                <w:smallCaps/>
                <w:color w:val="000000"/>
                <w:sz w:val="16"/>
                <w:szCs w:val="16"/>
              </w:rPr>
              <w:t>Limitations</w:t>
            </w:r>
          </w:p>
          <w:p w:rsidR="001F1B70" w:rsidRDefault="00D67CA6">
            <w:pPr>
              <w:spacing w:before="120" w:after="120" w:line="259" w:lineRule="auto"/>
              <w:rPr>
                <w:color w:val="000000"/>
                <w:sz w:val="16"/>
                <w:szCs w:val="16"/>
              </w:rPr>
            </w:pPr>
            <w:r>
              <w:rPr>
                <w:color w:val="000000"/>
                <w:sz w:val="16"/>
                <w:szCs w:val="16"/>
              </w:rPr>
              <w:t>Environmental declarations from different programs (ISO 14025) may not be comparable.</w:t>
            </w:r>
          </w:p>
          <w:p w:rsidR="001F1B70" w:rsidRDefault="00D67CA6">
            <w:pPr>
              <w:widowControl w:val="0"/>
              <w:pBdr>
                <w:top w:val="nil"/>
                <w:left w:val="nil"/>
                <w:bottom w:val="nil"/>
                <w:right w:val="nil"/>
                <w:between w:val="nil"/>
              </w:pBdr>
              <w:rPr>
                <w:color w:val="000000"/>
                <w:sz w:val="16"/>
                <w:szCs w:val="16"/>
              </w:rPr>
            </w:pPr>
            <w:r>
              <w:rPr>
                <w:color w:val="000000"/>
                <w:sz w:val="16"/>
                <w:szCs w:val="16"/>
              </w:rPr>
              <w:t xml:space="preserve">Comparison of the environmental performance using EPD information shall consider all relevant information modules over the full life cycle of the products within the building. </w:t>
            </w:r>
          </w:p>
          <w:p w:rsidR="001F1B70" w:rsidRDefault="001F1B70">
            <w:pPr>
              <w:widowControl w:val="0"/>
              <w:pBdr>
                <w:top w:val="nil"/>
                <w:left w:val="nil"/>
                <w:bottom w:val="nil"/>
                <w:right w:val="nil"/>
                <w:between w:val="nil"/>
              </w:pBdr>
              <w:rPr>
                <w:color w:val="000000"/>
                <w:sz w:val="16"/>
                <w:szCs w:val="16"/>
              </w:rPr>
            </w:pPr>
          </w:p>
          <w:p w:rsidR="001F1B70" w:rsidRDefault="00D67CA6">
            <w:pPr>
              <w:widowControl w:val="0"/>
              <w:pBdr>
                <w:top w:val="nil"/>
                <w:left w:val="nil"/>
                <w:bottom w:val="nil"/>
                <w:right w:val="nil"/>
                <w:between w:val="nil"/>
              </w:pBdr>
              <w:rPr>
                <w:color w:val="000000"/>
                <w:sz w:val="16"/>
                <w:szCs w:val="16"/>
              </w:rPr>
            </w:pPr>
            <w:r>
              <w:rPr>
                <w:color w:val="000000"/>
                <w:sz w:val="16"/>
                <w:szCs w:val="16"/>
              </w:rPr>
              <w:t>This PCR allows EPD comparability only when the same functional requirements between products are ensured and the requirements of ISO 21930:2017 §5.5 are met. It should be noted that different LCA software and background LCI datasets may lead to differences results for upstream or downstream of the life cycle stages declared.</w:t>
            </w:r>
          </w:p>
        </w:tc>
      </w:tr>
    </w:tbl>
    <w:p w:rsidR="001F1B70" w:rsidRDefault="001F1B70"/>
    <w:p w:rsidR="001F1B70" w:rsidRDefault="00D67CA6">
      <w:pPr>
        <w:pStyle w:val="Heading1"/>
        <w:numPr>
          <w:ilvl w:val="0"/>
          <w:numId w:val="1"/>
        </w:numPr>
      </w:pPr>
      <w:r>
        <w:lastRenderedPageBreak/>
        <w:t>General Information</w:t>
      </w:r>
    </w:p>
    <w:p w:rsidR="001F1B70" w:rsidRDefault="00D67CA6">
      <w:pPr>
        <w:pBdr>
          <w:top w:val="nil"/>
          <w:left w:val="nil"/>
          <w:bottom w:val="nil"/>
          <w:right w:val="nil"/>
          <w:between w:val="nil"/>
        </w:pBdr>
        <w:spacing w:after="0" w:line="240" w:lineRule="auto"/>
        <w:rPr>
          <w:color w:val="000000"/>
        </w:rPr>
      </w:pPr>
      <w:r>
        <w:rPr>
          <w:color w:val="000000"/>
        </w:rPr>
        <w:t>The comprehensive requirements for EPD content are specified in Part A, Section 7 and ISO 21930:2017, Section 9 (Clause 9).</w:t>
      </w:r>
    </w:p>
    <w:p w:rsidR="001F1B70" w:rsidRDefault="00D67CA6">
      <w:pPr>
        <w:pStyle w:val="Heading2"/>
        <w:numPr>
          <w:ilvl w:val="1"/>
          <w:numId w:val="19"/>
        </w:numPr>
        <w:ind w:left="450"/>
        <w:rPr>
          <w:sz w:val="20"/>
          <w:szCs w:val="20"/>
        </w:rPr>
      </w:pPr>
      <w:bookmarkStart w:id="9" w:name="_4d34og8" w:colFirst="0" w:colLast="0"/>
      <w:bookmarkEnd w:id="9"/>
      <w:r>
        <w:rPr>
          <w:sz w:val="20"/>
          <w:szCs w:val="20"/>
        </w:rPr>
        <w:t>Description of Organization</w:t>
      </w:r>
    </w:p>
    <w:p w:rsidR="001F1B70" w:rsidRDefault="00D67CA6">
      <w:pPr>
        <w:numPr>
          <w:ilvl w:val="2"/>
          <w:numId w:val="19"/>
        </w:numPr>
        <w:pBdr>
          <w:top w:val="nil"/>
          <w:left w:val="nil"/>
          <w:bottom w:val="nil"/>
          <w:right w:val="nil"/>
          <w:between w:val="nil"/>
        </w:pBdr>
        <w:spacing w:after="100" w:line="240" w:lineRule="auto"/>
        <w:ind w:left="630" w:hanging="450"/>
      </w:pPr>
      <w:bookmarkStart w:id="10" w:name="_2s8eyo1" w:colFirst="0" w:colLast="0"/>
      <w:bookmarkEnd w:id="10"/>
      <w:r>
        <w:rPr>
          <w:b/>
          <w:color w:val="000000"/>
          <w:sz w:val="16"/>
          <w:szCs w:val="16"/>
        </w:rPr>
        <w:t>Industry Average EPD</w:t>
      </w:r>
    </w:p>
    <w:p w:rsidR="001F1B70" w:rsidRDefault="00D67CA6">
      <w:pPr>
        <w:ind w:left="630"/>
      </w:pPr>
      <w:r>
        <w:t xml:space="preserve">The name of the sponsoring organization as well as participating manufacturers shall be provided. </w:t>
      </w:r>
    </w:p>
    <w:p w:rsidR="001F1B70" w:rsidRDefault="00D67CA6">
      <w:pPr>
        <w:numPr>
          <w:ilvl w:val="2"/>
          <w:numId w:val="19"/>
        </w:numPr>
        <w:pBdr>
          <w:top w:val="nil"/>
          <w:left w:val="nil"/>
          <w:bottom w:val="nil"/>
          <w:right w:val="nil"/>
          <w:between w:val="nil"/>
        </w:pBdr>
        <w:spacing w:after="100" w:line="240" w:lineRule="auto"/>
        <w:ind w:left="630" w:hanging="450"/>
      </w:pPr>
      <w:r>
        <w:rPr>
          <w:b/>
          <w:color w:val="000000"/>
          <w:sz w:val="16"/>
          <w:szCs w:val="16"/>
        </w:rPr>
        <w:t>Product Specific EPD</w:t>
      </w:r>
    </w:p>
    <w:p w:rsidR="001F1B70" w:rsidRDefault="00D67CA6">
      <w:pPr>
        <w:ind w:left="630"/>
      </w:pPr>
      <w:r>
        <w:t>The name of the manufacturing entity(ies) as well as the place(s) of production shall be provided. General information about the manufacturing entity(ies) may be provided, such as the existence of quality systems or environmental management systems, according to ISO 14001 or any other environmental management system in place.</w:t>
      </w:r>
    </w:p>
    <w:p w:rsidR="001F1B70" w:rsidRDefault="00D67CA6">
      <w:pPr>
        <w:pStyle w:val="Heading2"/>
        <w:numPr>
          <w:ilvl w:val="1"/>
          <w:numId w:val="19"/>
        </w:numPr>
        <w:ind w:left="450"/>
        <w:rPr>
          <w:sz w:val="20"/>
          <w:szCs w:val="20"/>
        </w:rPr>
      </w:pPr>
      <w:r>
        <w:rPr>
          <w:sz w:val="20"/>
          <w:szCs w:val="20"/>
        </w:rPr>
        <w:t>Product description</w:t>
      </w:r>
    </w:p>
    <w:p w:rsidR="001F1B70" w:rsidRDefault="00D67CA6">
      <w:pPr>
        <w:pBdr>
          <w:top w:val="nil"/>
          <w:left w:val="nil"/>
          <w:bottom w:val="nil"/>
          <w:right w:val="nil"/>
          <w:between w:val="nil"/>
        </w:pBdr>
        <w:spacing w:after="100" w:line="240" w:lineRule="auto"/>
        <w:rPr>
          <w:b/>
          <w:color w:val="000000"/>
          <w:sz w:val="16"/>
          <w:szCs w:val="16"/>
        </w:rPr>
      </w:pPr>
      <w:r>
        <w:rPr>
          <w:color w:val="000000"/>
        </w:rPr>
        <w:t>A narrative description of the product shall be provided that enables clear identification of the product. This description will include:</w:t>
      </w:r>
      <w:r>
        <w:rPr>
          <w:color w:val="000000"/>
        </w:rPr>
        <w:br/>
      </w:r>
    </w:p>
    <w:p w:rsidR="001F1B70" w:rsidRDefault="00D67CA6">
      <w:pPr>
        <w:numPr>
          <w:ilvl w:val="2"/>
          <w:numId w:val="25"/>
        </w:numPr>
        <w:pBdr>
          <w:top w:val="nil"/>
          <w:left w:val="nil"/>
          <w:bottom w:val="nil"/>
          <w:right w:val="nil"/>
          <w:between w:val="nil"/>
        </w:pBdr>
        <w:spacing w:after="100" w:line="240" w:lineRule="auto"/>
        <w:ind w:left="630" w:hanging="450"/>
      </w:pPr>
      <w:r>
        <w:rPr>
          <w:b/>
          <w:color w:val="000000"/>
          <w:sz w:val="16"/>
          <w:szCs w:val="16"/>
        </w:rPr>
        <w:t>Product Identification</w:t>
      </w:r>
    </w:p>
    <w:p w:rsidR="001F1B70" w:rsidRDefault="00D67CA6">
      <w:pPr>
        <w:spacing w:after="0"/>
        <w:ind w:left="630"/>
      </w:pPr>
      <w:r>
        <w:t xml:space="preserve">The declared products shall be identified by brand name(s), by material type(s), by production code(s) (if applicable), and by simple visual representation, which may be by photograph or graphic illustration. </w:t>
      </w:r>
    </w:p>
    <w:p w:rsidR="001F1B70" w:rsidRDefault="00D67CA6">
      <w:pPr>
        <w:spacing w:after="0" w:line="240" w:lineRule="auto"/>
        <w:ind w:left="630"/>
      </w:pPr>
      <w:r>
        <w:br/>
      </w:r>
    </w:p>
    <w:p w:rsidR="001F1B70" w:rsidRDefault="00D67CA6">
      <w:pPr>
        <w:numPr>
          <w:ilvl w:val="2"/>
          <w:numId w:val="2"/>
        </w:numPr>
        <w:pBdr>
          <w:top w:val="nil"/>
          <w:left w:val="nil"/>
          <w:bottom w:val="nil"/>
          <w:right w:val="nil"/>
          <w:between w:val="nil"/>
        </w:pBdr>
        <w:spacing w:after="120" w:line="240" w:lineRule="auto"/>
        <w:ind w:left="633" w:right="43" w:hanging="446"/>
        <w:rPr>
          <w:color w:val="000000"/>
        </w:rPr>
      </w:pPr>
      <w:r>
        <w:rPr>
          <w:b/>
          <w:color w:val="000000"/>
          <w:sz w:val="16"/>
          <w:szCs w:val="16"/>
        </w:rPr>
        <w:t>Product Specification</w:t>
      </w:r>
    </w:p>
    <w:p w:rsidR="001F1B70" w:rsidRDefault="00D67CA6">
      <w:pPr>
        <w:pBdr>
          <w:top w:val="nil"/>
          <w:left w:val="nil"/>
          <w:bottom w:val="nil"/>
          <w:right w:val="nil"/>
          <w:between w:val="nil"/>
        </w:pBdr>
        <w:spacing w:before="120" w:after="100" w:line="240" w:lineRule="auto"/>
        <w:ind w:left="630"/>
        <w:rPr>
          <w:color w:val="000000"/>
        </w:rPr>
      </w:pPr>
      <w:r>
        <w:rPr>
          <w:color w:val="000000"/>
        </w:rPr>
        <w:t>Related products grouped and reported as an average product in the same EPD satisfying the variation criteria of Part A, Section 5 shall constitute an individual declared product. For each declared product, list the physical characteristics required in Section ‎3. Other relevant product specification values may be provided here.</w:t>
      </w:r>
    </w:p>
    <w:p w:rsidR="001F1B70" w:rsidRDefault="00D67CA6">
      <w:pPr>
        <w:pBdr>
          <w:top w:val="nil"/>
          <w:left w:val="nil"/>
          <w:bottom w:val="nil"/>
          <w:right w:val="nil"/>
          <w:between w:val="nil"/>
        </w:pBdr>
        <w:spacing w:after="100" w:line="240" w:lineRule="auto"/>
        <w:ind w:left="630"/>
        <w:rPr>
          <w:color w:val="000000"/>
        </w:rPr>
      </w:pPr>
      <w:r>
        <w:rPr>
          <w:color w:val="000000"/>
        </w:rPr>
        <w:t>The appropriate ANSI, ASTM, or CSA product specification shall be provided, including additional pertinent physical properties and technical information.</w:t>
      </w:r>
      <w:r>
        <w:rPr>
          <w:color w:val="000000"/>
        </w:rPr>
        <w:br/>
      </w:r>
    </w:p>
    <w:p w:rsidR="001F1B70" w:rsidRDefault="00D67CA6">
      <w:pPr>
        <w:numPr>
          <w:ilvl w:val="2"/>
          <w:numId w:val="2"/>
        </w:numPr>
        <w:pBdr>
          <w:top w:val="nil"/>
          <w:left w:val="nil"/>
          <w:bottom w:val="nil"/>
          <w:right w:val="nil"/>
          <w:between w:val="nil"/>
        </w:pBdr>
        <w:spacing w:after="120" w:line="240" w:lineRule="auto"/>
        <w:ind w:left="633" w:right="43" w:hanging="446"/>
        <w:rPr>
          <w:b/>
          <w:color w:val="000000"/>
          <w:sz w:val="16"/>
          <w:szCs w:val="16"/>
        </w:rPr>
      </w:pPr>
      <w:r>
        <w:rPr>
          <w:b/>
          <w:color w:val="000000"/>
          <w:sz w:val="16"/>
          <w:szCs w:val="16"/>
        </w:rPr>
        <w:t>Flow Diagram</w:t>
      </w:r>
    </w:p>
    <w:p w:rsidR="001F1B70" w:rsidRDefault="00D67CA6">
      <w:pPr>
        <w:pBdr>
          <w:top w:val="nil"/>
          <w:left w:val="nil"/>
          <w:bottom w:val="nil"/>
          <w:right w:val="nil"/>
          <w:between w:val="nil"/>
        </w:pBdr>
        <w:spacing w:after="0" w:line="240" w:lineRule="auto"/>
        <w:ind w:left="630"/>
        <w:rPr>
          <w:color w:val="000000"/>
        </w:rPr>
      </w:pPr>
      <w:r>
        <w:rPr>
          <w:color w:val="000000"/>
        </w:rPr>
        <w:t>A graphical depiction of a flow diagram illustrating main production processes according to the scope of the declaration shall be included such as the examples in Figure 1.</w:t>
      </w:r>
    </w:p>
    <w:p w:rsidR="001F1B70" w:rsidRDefault="001F1B70">
      <w:pPr>
        <w:pBdr>
          <w:top w:val="nil"/>
          <w:left w:val="nil"/>
          <w:bottom w:val="nil"/>
          <w:right w:val="nil"/>
          <w:between w:val="nil"/>
        </w:pBdr>
        <w:spacing w:after="0" w:line="240" w:lineRule="auto"/>
        <w:ind w:left="630"/>
        <w:rPr>
          <w:color w:val="000000"/>
        </w:rPr>
      </w:pPr>
    </w:p>
    <w:p w:rsidR="001F1B70" w:rsidRDefault="00D67CA6">
      <w:pPr>
        <w:keepNext/>
        <w:keepLines/>
        <w:pBdr>
          <w:top w:val="nil"/>
          <w:left w:val="nil"/>
          <w:bottom w:val="nil"/>
          <w:right w:val="nil"/>
          <w:between w:val="nil"/>
        </w:pBdr>
        <w:spacing w:after="0" w:line="240" w:lineRule="auto"/>
        <w:ind w:left="630"/>
        <w:rPr>
          <w:b/>
          <w:smallCaps/>
          <w:color w:val="000000"/>
        </w:rPr>
      </w:pPr>
      <w:bookmarkStart w:id="11" w:name="_17dp8vu" w:colFirst="0" w:colLast="0"/>
      <w:bookmarkEnd w:id="11"/>
      <w:r>
        <w:rPr>
          <w:b/>
          <w:smallCaps/>
          <w:color w:val="000000"/>
        </w:rPr>
        <w:lastRenderedPageBreak/>
        <w:t xml:space="preserve">Figure 1. Example Product Flow Diagram – </w:t>
      </w:r>
      <w:r>
        <w:rPr>
          <w:b/>
          <w:smallCaps/>
        </w:rPr>
        <w:t>Commercial Steel Door and Frame</w:t>
      </w:r>
      <w:r>
        <w:rPr>
          <w:b/>
          <w:smallCaps/>
          <w:color w:val="000000"/>
        </w:rPr>
        <w:t xml:space="preserve"> Products</w:t>
      </w:r>
      <w:r>
        <w:rPr>
          <w:rFonts w:ascii="Times New Roman" w:eastAsia="Times New Roman" w:hAnsi="Times New Roman" w:cs="Times New Roman"/>
          <w:b/>
          <w:smallCaps/>
          <w:color w:val="000000"/>
          <w:vertAlign w:val="superscript"/>
        </w:rPr>
        <w:footnoteReference w:id="2"/>
      </w:r>
      <w:r>
        <w:rPr>
          <w:b/>
          <w:smallCaps/>
          <w:color w:val="000000"/>
        </w:rPr>
        <w:t xml:space="preserve"> </w:t>
      </w:r>
    </w:p>
    <w:p w:rsidR="001F1B70" w:rsidRDefault="001F1B70">
      <w:pPr>
        <w:keepNext/>
        <w:keepLines/>
        <w:pBdr>
          <w:top w:val="nil"/>
          <w:left w:val="nil"/>
          <w:bottom w:val="nil"/>
          <w:right w:val="nil"/>
          <w:between w:val="nil"/>
        </w:pBdr>
        <w:spacing w:after="0" w:line="240" w:lineRule="auto"/>
        <w:ind w:left="630"/>
        <w:rPr>
          <w:color w:val="000000"/>
        </w:rPr>
      </w:pPr>
    </w:p>
    <w:p w:rsidR="001F1B70" w:rsidRDefault="00692659" w:rsidP="00692659">
      <w:pPr>
        <w:keepNext/>
        <w:keepLines/>
        <w:pBdr>
          <w:top w:val="nil"/>
          <w:left w:val="nil"/>
          <w:bottom w:val="nil"/>
          <w:right w:val="nil"/>
          <w:between w:val="nil"/>
        </w:pBdr>
        <w:spacing w:after="0" w:line="240" w:lineRule="auto"/>
        <w:ind w:left="630"/>
        <w:rPr>
          <w:rFonts w:ascii="Times New Roman" w:eastAsia="Times New Roman" w:hAnsi="Times New Roman" w:cs="Times New Roman"/>
          <w:color w:val="000000"/>
        </w:rPr>
      </w:pPr>
      <w:r w:rsidRPr="00692659">
        <w:drawing>
          <wp:inline distT="0" distB="0" distL="0" distR="0">
            <wp:extent cx="5251010" cy="7947763"/>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4688" cy="7953330"/>
                    </a:xfrm>
                    <a:prstGeom prst="rect">
                      <a:avLst/>
                    </a:prstGeom>
                    <a:noFill/>
                    <a:ln>
                      <a:noFill/>
                    </a:ln>
                  </pic:spPr>
                </pic:pic>
              </a:graphicData>
            </a:graphic>
          </wp:inline>
        </w:drawing>
      </w:r>
    </w:p>
    <w:p w:rsidR="001F1B70" w:rsidRDefault="00D67CA6">
      <w:pPr>
        <w:pStyle w:val="Heading2"/>
        <w:numPr>
          <w:ilvl w:val="1"/>
          <w:numId w:val="19"/>
        </w:numPr>
        <w:spacing w:after="120" w:line="240" w:lineRule="auto"/>
        <w:ind w:left="446"/>
      </w:pPr>
      <w:bookmarkStart w:id="12" w:name="_3rdcrjn" w:colFirst="0" w:colLast="0"/>
      <w:bookmarkEnd w:id="12"/>
      <w:r>
        <w:rPr>
          <w:sz w:val="20"/>
          <w:szCs w:val="20"/>
        </w:rPr>
        <w:lastRenderedPageBreak/>
        <w:t>Product Average</w:t>
      </w:r>
    </w:p>
    <w:p w:rsidR="001F1B70" w:rsidRDefault="00D67CA6">
      <w:pPr>
        <w:numPr>
          <w:ilvl w:val="2"/>
          <w:numId w:val="3"/>
        </w:numPr>
        <w:pBdr>
          <w:top w:val="nil"/>
          <w:left w:val="nil"/>
          <w:bottom w:val="nil"/>
          <w:right w:val="nil"/>
          <w:between w:val="nil"/>
        </w:pBdr>
        <w:spacing w:after="120" w:line="276" w:lineRule="auto"/>
        <w:ind w:left="900" w:right="43" w:hanging="630"/>
      </w:pPr>
      <w:bookmarkStart w:id="13" w:name="_26in1rg" w:colFirst="0" w:colLast="0"/>
      <w:bookmarkEnd w:id="13"/>
      <w:r>
        <w:rPr>
          <w:b/>
          <w:color w:val="000000"/>
          <w:sz w:val="16"/>
          <w:szCs w:val="16"/>
        </w:rPr>
        <w:t>Industry Average EPD (if relevant)</w:t>
      </w:r>
    </w:p>
    <w:p w:rsidR="001F1B70" w:rsidRDefault="00D67CA6">
      <w:pPr>
        <w:tabs>
          <w:tab w:val="left" w:pos="810"/>
        </w:tabs>
        <w:spacing w:before="120" w:after="120" w:line="240" w:lineRule="auto"/>
        <w:ind w:left="900" w:right="43"/>
      </w:pPr>
      <w:r>
        <w:t xml:space="preserve">The method for creating an </w:t>
      </w:r>
      <w:r w:rsidR="00811E40">
        <w:t>industry average</w:t>
      </w:r>
      <w:r>
        <w:t xml:space="preserve"> EPD shall be described per Part A, Section 2.5.1. </w:t>
      </w:r>
      <w:r>
        <w:br/>
      </w:r>
    </w:p>
    <w:p w:rsidR="001F1B70" w:rsidRDefault="00D67CA6">
      <w:pPr>
        <w:keepNext/>
        <w:keepLines/>
        <w:numPr>
          <w:ilvl w:val="2"/>
          <w:numId w:val="3"/>
        </w:numPr>
        <w:pBdr>
          <w:top w:val="nil"/>
          <w:left w:val="nil"/>
          <w:bottom w:val="nil"/>
          <w:right w:val="nil"/>
          <w:between w:val="nil"/>
        </w:pBdr>
        <w:spacing w:after="240" w:line="240" w:lineRule="auto"/>
        <w:ind w:left="900" w:right="43" w:hanging="630"/>
      </w:pPr>
      <w:bookmarkStart w:id="14" w:name="_lnxbz9" w:colFirst="0" w:colLast="0"/>
      <w:bookmarkEnd w:id="14"/>
      <w:r>
        <w:rPr>
          <w:b/>
          <w:color w:val="000000"/>
          <w:sz w:val="16"/>
          <w:szCs w:val="16"/>
        </w:rPr>
        <w:t>Product Specific EPD</w:t>
      </w:r>
      <w:r>
        <w:rPr>
          <w:b/>
          <w:color w:val="000000"/>
          <w:sz w:val="16"/>
          <w:szCs w:val="16"/>
        </w:rPr>
        <w:br/>
      </w:r>
      <w:r>
        <w:t>The method for creating a company specific individual product/product group EPD shall be described, including the method for determining a weighted average across products based on production volume as described in Part A, Section 2.5.2.</w:t>
      </w:r>
      <w:r>
        <w:rPr>
          <w:color w:val="000000"/>
        </w:rPr>
        <w:t xml:space="preserve"> </w:t>
      </w:r>
    </w:p>
    <w:p w:rsidR="001F1B70" w:rsidRDefault="00D67CA6">
      <w:pPr>
        <w:pStyle w:val="Heading2"/>
        <w:numPr>
          <w:ilvl w:val="1"/>
          <w:numId w:val="6"/>
        </w:numPr>
        <w:ind w:left="432"/>
      </w:pPr>
      <w:r>
        <w:t xml:space="preserve">Application </w:t>
      </w:r>
    </w:p>
    <w:p w:rsidR="001F1B70" w:rsidRDefault="00D67CA6">
      <w:pPr>
        <w:ind w:left="-5" w:right="47"/>
      </w:pPr>
      <w:r>
        <w:t>The designated applications for the referenced product(s) shall be specified. The applications of the</w:t>
      </w:r>
      <w:r>
        <w:rPr>
          <w:strike/>
        </w:rPr>
        <w:t xml:space="preserve"> </w:t>
      </w:r>
      <w:r>
        <w:t xml:space="preserve">declared product(s) shall be described. </w:t>
      </w:r>
    </w:p>
    <w:p w:rsidR="001F1B70" w:rsidRDefault="00D67CA6">
      <w:pPr>
        <w:pStyle w:val="Heading2"/>
        <w:numPr>
          <w:ilvl w:val="1"/>
          <w:numId w:val="4"/>
        </w:numPr>
        <w:ind w:left="450" w:hanging="450"/>
      </w:pPr>
      <w:r>
        <w:t>Material Composition</w:t>
      </w:r>
    </w:p>
    <w:p w:rsidR="001F1B70" w:rsidRDefault="00D67CA6">
      <w:pPr>
        <w:ind w:left="-5" w:right="47"/>
      </w:pPr>
      <w:r>
        <w:t xml:space="preserve">The material composition of steel door and frame products shall be disclosed and will include components as percentages or ranges of percentages of total mass as required by product Safety Data Sheet (SDS) rules, if relevant. </w:t>
      </w:r>
    </w:p>
    <w:p w:rsidR="001F1B70" w:rsidRDefault="00D67CA6">
      <w:pPr>
        <w:ind w:left="-5" w:right="47"/>
      </w:pPr>
      <w:r>
        <w:t xml:space="preserve">Statements of material non-inclusion, such as “… is free of …” shall not be used. </w:t>
      </w:r>
    </w:p>
    <w:p w:rsidR="001F1B70" w:rsidRDefault="00D67CA6">
      <w:pPr>
        <w:ind w:left="-5" w:right="47"/>
      </w:pPr>
      <w:r>
        <w:t>Regulated Hazardous substances and dangerous substances shall be reported per Part A, Section 4.11.</w:t>
      </w:r>
    </w:p>
    <w:p w:rsidR="001F1B70" w:rsidRDefault="00D67CA6">
      <w:pPr>
        <w:pBdr>
          <w:top w:val="single" w:sz="4" w:space="10" w:color="A6A6A6"/>
          <w:left w:val="single" w:sz="4" w:space="6" w:color="A6A6A6"/>
          <w:bottom w:val="single" w:sz="4" w:space="10" w:color="A6A6A6"/>
          <w:right w:val="single" w:sz="4" w:space="6" w:color="A6A6A6"/>
          <w:between w:val="nil"/>
        </w:pBdr>
        <w:shd w:val="clear" w:color="auto" w:fill="DDDDDD"/>
        <w:spacing w:after="0"/>
        <w:ind w:left="-5" w:right="47" w:firstLine="5"/>
        <w:rPr>
          <w:color w:val="000000"/>
          <w:sz w:val="16"/>
          <w:szCs w:val="16"/>
        </w:rPr>
      </w:pPr>
      <w:r>
        <w:rPr>
          <w:color w:val="000000"/>
          <w:sz w:val="16"/>
          <w:szCs w:val="16"/>
        </w:rPr>
        <w:t>Note: This disclosure is intended to enable the user of the EPD to understand the composition of the product in delivery condition and support a safe and effective installation, use and disposal of the product. With appropriate justification, this requirement does not apply to confidential or proprietary information relating to materials and substances that apply due to a competitive business environment or covered by intellectual property rights or similar legal restrictions. It also might not be appropriate for information concerning intangible products.</w:t>
      </w:r>
    </w:p>
    <w:p w:rsidR="001F1B70" w:rsidRDefault="00D67CA6">
      <w:pPr>
        <w:pStyle w:val="Heading2"/>
        <w:numPr>
          <w:ilvl w:val="1"/>
          <w:numId w:val="4"/>
        </w:numPr>
        <w:ind w:left="432"/>
      </w:pPr>
      <w:r>
        <w:t>Technical Requirements</w:t>
      </w:r>
    </w:p>
    <w:p w:rsidR="001F1B70" w:rsidRDefault="00D67CA6">
      <w:r>
        <w:t xml:space="preserve">The appropriate ASTM or CSA product specification shall be provided, including additional pertinent physical properties and technical information. The following technical data for the product as delivered shall be provided with reference to the applicable test standard.  </w:t>
      </w:r>
    </w:p>
    <w:p w:rsidR="001F1B70" w:rsidRDefault="00D67CA6">
      <w:pPr>
        <w:keepNext/>
        <w:pBdr>
          <w:top w:val="nil"/>
          <w:left w:val="nil"/>
          <w:bottom w:val="nil"/>
          <w:right w:val="nil"/>
          <w:between w:val="nil"/>
        </w:pBdr>
        <w:spacing w:line="240" w:lineRule="auto"/>
        <w:rPr>
          <w:b/>
          <w:smallCaps/>
          <w:color w:val="000000"/>
        </w:rPr>
      </w:pPr>
      <w:bookmarkStart w:id="15" w:name="_35nkun2" w:colFirst="0" w:colLast="0"/>
      <w:bookmarkEnd w:id="15"/>
      <w:r>
        <w:rPr>
          <w:b/>
          <w:smallCaps/>
          <w:color w:val="000000"/>
        </w:rPr>
        <w:t>Table 2. Technical Data</w:t>
      </w:r>
    </w:p>
    <w:tbl>
      <w:tblPr>
        <w:tblStyle w:val="a3"/>
        <w:tblW w:w="80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58" w:type="dxa"/>
          <w:left w:w="72" w:type="dxa"/>
          <w:bottom w:w="58" w:type="dxa"/>
          <w:right w:w="72" w:type="dxa"/>
        </w:tblCellMar>
        <w:tblLook w:val="0400" w:firstRow="0" w:lastRow="0" w:firstColumn="0" w:lastColumn="0" w:noHBand="0" w:noVBand="1"/>
      </w:tblPr>
      <w:tblGrid>
        <w:gridCol w:w="5367"/>
        <w:gridCol w:w="1290"/>
        <w:gridCol w:w="1394"/>
      </w:tblGrid>
      <w:tr w:rsidR="001F1B70" w:rsidRPr="00D67CA6" w:rsidTr="00692659">
        <w:trPr>
          <w:trHeight w:val="380"/>
        </w:trPr>
        <w:tc>
          <w:tcPr>
            <w:tcW w:w="5367" w:type="dxa"/>
            <w:tcBorders>
              <w:top w:val="single" w:sz="8" w:space="0" w:color="000000"/>
              <w:left w:val="single" w:sz="8" w:space="0" w:color="000000"/>
              <w:bottom w:val="nil"/>
              <w:right w:val="single" w:sz="8" w:space="0" w:color="000000"/>
            </w:tcBorders>
            <w:shd w:val="clear" w:color="auto" w:fill="D9D9D9"/>
            <w:vAlign w:val="center"/>
          </w:tcPr>
          <w:p w:rsidR="001F1B70" w:rsidRPr="00D67CA6" w:rsidRDefault="00D67CA6">
            <w:pPr>
              <w:spacing w:line="276" w:lineRule="auto"/>
              <w:rPr>
                <w:sz w:val="18"/>
                <w:szCs w:val="18"/>
              </w:rPr>
            </w:pPr>
            <w:r w:rsidRPr="00D67CA6">
              <w:rPr>
                <w:sz w:val="18"/>
                <w:szCs w:val="18"/>
              </w:rPr>
              <w:t>Name</w:t>
            </w:r>
          </w:p>
        </w:tc>
        <w:tc>
          <w:tcPr>
            <w:tcW w:w="1290" w:type="dxa"/>
            <w:tcBorders>
              <w:top w:val="single" w:sz="8" w:space="0" w:color="000000"/>
              <w:left w:val="nil"/>
              <w:bottom w:val="nil"/>
              <w:right w:val="single" w:sz="8" w:space="0" w:color="000000"/>
            </w:tcBorders>
            <w:shd w:val="clear" w:color="auto" w:fill="D9D9D9"/>
            <w:vAlign w:val="center"/>
          </w:tcPr>
          <w:p w:rsidR="001F1B70" w:rsidRPr="00D67CA6" w:rsidRDefault="00D67CA6">
            <w:pPr>
              <w:spacing w:line="276" w:lineRule="auto"/>
              <w:jc w:val="center"/>
              <w:rPr>
                <w:sz w:val="18"/>
                <w:szCs w:val="18"/>
              </w:rPr>
            </w:pPr>
            <w:r w:rsidRPr="00D67CA6">
              <w:rPr>
                <w:sz w:val="18"/>
                <w:szCs w:val="18"/>
              </w:rPr>
              <w:t>Value</w:t>
            </w:r>
          </w:p>
        </w:tc>
        <w:tc>
          <w:tcPr>
            <w:tcW w:w="1394" w:type="dxa"/>
            <w:tcBorders>
              <w:top w:val="single" w:sz="8" w:space="0" w:color="000000"/>
              <w:left w:val="nil"/>
              <w:bottom w:val="nil"/>
              <w:right w:val="single" w:sz="8" w:space="0" w:color="000000"/>
            </w:tcBorders>
            <w:shd w:val="clear" w:color="auto" w:fill="D9D9D9"/>
            <w:vAlign w:val="center"/>
          </w:tcPr>
          <w:p w:rsidR="001F1B70" w:rsidRPr="00D67CA6" w:rsidRDefault="00D67CA6">
            <w:pPr>
              <w:spacing w:line="276" w:lineRule="auto"/>
              <w:jc w:val="center"/>
              <w:rPr>
                <w:sz w:val="18"/>
                <w:szCs w:val="18"/>
              </w:rPr>
            </w:pPr>
            <w:r w:rsidRPr="00D67CA6">
              <w:rPr>
                <w:sz w:val="18"/>
                <w:szCs w:val="18"/>
              </w:rPr>
              <w:t>Unit</w:t>
            </w:r>
          </w:p>
        </w:tc>
      </w:tr>
      <w:tr w:rsidR="001F1B70" w:rsidRPr="00D67CA6" w:rsidTr="00692659">
        <w:tc>
          <w:tcPr>
            <w:tcW w:w="5367" w:type="dxa"/>
            <w:tcBorders>
              <w:top w:val="single" w:sz="8" w:space="0" w:color="000000"/>
              <w:left w:val="single" w:sz="8" w:space="0" w:color="000000"/>
              <w:bottom w:val="single" w:sz="8" w:space="0" w:color="000000"/>
              <w:right w:val="single" w:sz="8" w:space="0" w:color="000000"/>
            </w:tcBorders>
            <w:vAlign w:val="center"/>
          </w:tcPr>
          <w:p w:rsidR="001F1B70" w:rsidRPr="00692659" w:rsidRDefault="00D67CA6">
            <w:pPr>
              <w:spacing w:line="276" w:lineRule="auto"/>
              <w:rPr>
                <w:b/>
                <w:sz w:val="16"/>
                <w:szCs w:val="16"/>
              </w:rPr>
            </w:pPr>
            <w:r w:rsidRPr="00692659">
              <w:rPr>
                <w:sz w:val="16"/>
                <w:szCs w:val="16"/>
              </w:rPr>
              <w:t xml:space="preserve">Sound transmission coefficient (ASTM E90-09, Standard Test Method for Laboratory Measurement of Transmission Loss of Building </w:t>
            </w:r>
            <w:r w:rsidR="00811E40" w:rsidRPr="00692659">
              <w:rPr>
                <w:sz w:val="16"/>
                <w:szCs w:val="16"/>
              </w:rPr>
              <w:t>Partitions; ASTM</w:t>
            </w:r>
            <w:r w:rsidRPr="00692659">
              <w:rPr>
                <w:sz w:val="16"/>
                <w:szCs w:val="16"/>
              </w:rPr>
              <w:t xml:space="preserve"> E413-04, Classification for Rating Sound Insulation; ASTM E1332-90 (R2003), Standard Classification for Determination of Outdoor-Indoor Transmission Class)</w:t>
            </w:r>
          </w:p>
        </w:tc>
        <w:tc>
          <w:tcPr>
            <w:tcW w:w="1290" w:type="dxa"/>
            <w:tcBorders>
              <w:top w:val="single" w:sz="8" w:space="0" w:color="000000"/>
              <w:left w:val="nil"/>
              <w:bottom w:val="single" w:sz="8" w:space="0" w:color="000000"/>
              <w:right w:val="single" w:sz="8" w:space="0" w:color="000000"/>
            </w:tcBorders>
            <w:vAlign w:val="center"/>
          </w:tcPr>
          <w:p w:rsidR="001F1B70" w:rsidRPr="00D67CA6" w:rsidRDefault="001F1B70">
            <w:pPr>
              <w:spacing w:line="276" w:lineRule="auto"/>
              <w:jc w:val="center"/>
              <w:rPr>
                <w:b/>
                <w:sz w:val="18"/>
                <w:szCs w:val="18"/>
              </w:rPr>
            </w:pPr>
          </w:p>
        </w:tc>
        <w:tc>
          <w:tcPr>
            <w:tcW w:w="1394" w:type="dxa"/>
            <w:tcBorders>
              <w:top w:val="single" w:sz="8" w:space="0" w:color="000000"/>
              <w:left w:val="nil"/>
              <w:bottom w:val="single" w:sz="8" w:space="0" w:color="000000"/>
              <w:right w:val="single" w:sz="8" w:space="0" w:color="000000"/>
            </w:tcBorders>
            <w:vAlign w:val="center"/>
          </w:tcPr>
          <w:p w:rsidR="001F1B70" w:rsidRPr="00D67CA6" w:rsidRDefault="00D67CA6">
            <w:pPr>
              <w:spacing w:line="276" w:lineRule="auto"/>
              <w:jc w:val="center"/>
              <w:rPr>
                <w:b/>
                <w:sz w:val="18"/>
                <w:szCs w:val="18"/>
              </w:rPr>
            </w:pPr>
            <w:r w:rsidRPr="00D67CA6">
              <w:rPr>
                <w:sz w:val="18"/>
                <w:szCs w:val="18"/>
              </w:rPr>
              <w:t>%</w:t>
            </w:r>
          </w:p>
        </w:tc>
      </w:tr>
      <w:tr w:rsidR="001F1B70" w:rsidRPr="00D67CA6" w:rsidTr="00692659">
        <w:tc>
          <w:tcPr>
            <w:tcW w:w="5367" w:type="dxa"/>
            <w:tcBorders>
              <w:top w:val="single" w:sz="8" w:space="0" w:color="000000"/>
              <w:left w:val="single" w:sz="8" w:space="0" w:color="000000"/>
              <w:bottom w:val="single" w:sz="8" w:space="0" w:color="000000"/>
              <w:right w:val="single" w:sz="8" w:space="0" w:color="000000"/>
            </w:tcBorders>
            <w:vAlign w:val="center"/>
          </w:tcPr>
          <w:p w:rsidR="001F1B70" w:rsidRPr="00692659" w:rsidRDefault="00D67CA6">
            <w:pPr>
              <w:spacing w:line="276" w:lineRule="auto"/>
              <w:rPr>
                <w:b/>
                <w:sz w:val="16"/>
                <w:szCs w:val="16"/>
              </w:rPr>
            </w:pPr>
            <w:r w:rsidRPr="00692659">
              <w:rPr>
                <w:sz w:val="16"/>
                <w:szCs w:val="16"/>
              </w:rPr>
              <w:t>U Value (ASTM C1199-09,Test Method for Measuring the Steady-State Thermal Transmittance of Fenestration Systems Using Hot Box Methods; ASTMC1363-05, Test Method for Thermal Performance of Building Materials and Envelope Assemblies by Means of a Hot Box Apparatus; ASTM  E1423-06, Practice for Determining Steady State Thermal Transmittance of Fenestration Systems )</w:t>
            </w:r>
          </w:p>
        </w:tc>
        <w:tc>
          <w:tcPr>
            <w:tcW w:w="1290" w:type="dxa"/>
            <w:tcBorders>
              <w:top w:val="single" w:sz="8" w:space="0" w:color="000000"/>
              <w:left w:val="nil"/>
              <w:bottom w:val="single" w:sz="8" w:space="0" w:color="000000"/>
              <w:right w:val="single" w:sz="8" w:space="0" w:color="000000"/>
            </w:tcBorders>
            <w:vAlign w:val="center"/>
          </w:tcPr>
          <w:p w:rsidR="001F1B70" w:rsidRPr="00D67CA6" w:rsidRDefault="001F1B70">
            <w:pPr>
              <w:spacing w:line="276" w:lineRule="auto"/>
              <w:jc w:val="center"/>
              <w:rPr>
                <w:b/>
                <w:sz w:val="18"/>
                <w:szCs w:val="18"/>
              </w:rPr>
            </w:pPr>
          </w:p>
        </w:tc>
        <w:tc>
          <w:tcPr>
            <w:tcW w:w="1394" w:type="dxa"/>
            <w:tcBorders>
              <w:top w:val="single" w:sz="8" w:space="0" w:color="000000"/>
              <w:left w:val="nil"/>
              <w:bottom w:val="single" w:sz="8" w:space="0" w:color="000000"/>
              <w:right w:val="single" w:sz="8" w:space="0" w:color="000000"/>
            </w:tcBorders>
            <w:vAlign w:val="center"/>
          </w:tcPr>
          <w:p w:rsidR="001F1B70" w:rsidRPr="00D67CA6" w:rsidRDefault="00D67CA6">
            <w:pPr>
              <w:spacing w:line="276" w:lineRule="auto"/>
              <w:jc w:val="center"/>
              <w:rPr>
                <w:b/>
                <w:sz w:val="18"/>
                <w:szCs w:val="18"/>
              </w:rPr>
            </w:pPr>
            <w:r w:rsidRPr="00D67CA6">
              <w:rPr>
                <w:sz w:val="18"/>
                <w:szCs w:val="18"/>
              </w:rPr>
              <w:t>%</w:t>
            </w:r>
          </w:p>
        </w:tc>
      </w:tr>
    </w:tbl>
    <w:p w:rsidR="001F1B70" w:rsidRDefault="001F1B70">
      <w:pPr>
        <w:pBdr>
          <w:top w:val="nil"/>
          <w:left w:val="nil"/>
          <w:bottom w:val="nil"/>
          <w:right w:val="nil"/>
          <w:between w:val="nil"/>
        </w:pBdr>
        <w:spacing w:before="100" w:after="100" w:line="240" w:lineRule="auto"/>
        <w:rPr>
          <w:color w:val="000000"/>
        </w:rPr>
      </w:pPr>
    </w:p>
    <w:p w:rsidR="001F1B70" w:rsidRDefault="00D67CA6">
      <w:pPr>
        <w:pStyle w:val="Heading2"/>
        <w:numPr>
          <w:ilvl w:val="1"/>
          <w:numId w:val="4"/>
        </w:numPr>
        <w:ind w:left="432"/>
      </w:pPr>
      <w:r>
        <w:t>Properties of Declared Product as Delivered</w:t>
      </w:r>
    </w:p>
    <w:p w:rsidR="001F1B70" w:rsidRDefault="00D67CA6">
      <w:pPr>
        <w:spacing w:after="0"/>
      </w:pPr>
      <w:r>
        <w:t xml:space="preserve">The dimensions/quantities of the declared product(s) as delivered to the site of installation/application shall be indicated. </w:t>
      </w:r>
    </w:p>
    <w:p w:rsidR="001F1B70" w:rsidRDefault="001F1B70">
      <w:pPr>
        <w:spacing w:after="0"/>
      </w:pPr>
    </w:p>
    <w:p w:rsidR="001F1B70" w:rsidRDefault="00D67CA6">
      <w:pPr>
        <w:spacing w:after="0"/>
      </w:pPr>
      <w:r>
        <w:lastRenderedPageBreak/>
        <w:t>The final product evaluation report/certification/registration is available at: [Insert link]</w:t>
      </w:r>
    </w:p>
    <w:p w:rsidR="001F1B70" w:rsidRDefault="00D67CA6">
      <w:pPr>
        <w:pStyle w:val="Heading1"/>
        <w:numPr>
          <w:ilvl w:val="0"/>
          <w:numId w:val="4"/>
        </w:numPr>
        <w:spacing w:before="240"/>
      </w:pPr>
      <w:bookmarkStart w:id="16" w:name="_1ksv4uv" w:colFirst="0" w:colLast="0"/>
      <w:bookmarkEnd w:id="16"/>
      <w:r>
        <w:t>Methodological Framework</w:t>
      </w:r>
    </w:p>
    <w:p w:rsidR="001F1B70" w:rsidRDefault="00D67CA6">
      <w:pPr>
        <w:pStyle w:val="Heading2"/>
        <w:numPr>
          <w:ilvl w:val="1"/>
          <w:numId w:val="8"/>
        </w:numPr>
        <w:ind w:hanging="612"/>
      </w:pPr>
      <w:r>
        <w:t>Functional Unit</w:t>
      </w:r>
    </w:p>
    <w:p w:rsidR="001F1B70" w:rsidRDefault="00D67CA6">
      <w:r>
        <w:t xml:space="preserve">For EPDs covering the complete life cycle, a functional unit shall be defined based on the functional use or performance characteristics of the product integrated into a building or other type of construction in the use phase. The functional unit shall be defined as specified in Table 2. Explanation of the selected functional unit shall be stated clearly, including the reference service life. The reference flow as an input to enable steel door and frames to meet the functional unit requirements shall include related accessories and other materials (e.g., fasteners), with the exception of </w:t>
      </w:r>
      <w:r w:rsidR="00811E40">
        <w:t>builders’</w:t>
      </w:r>
      <w:r>
        <w:t xml:space="preserve"> hardware such as hinges or exit devices shall not be included.</w:t>
      </w:r>
    </w:p>
    <w:p w:rsidR="001F1B70" w:rsidRDefault="00D67CA6">
      <w:pPr>
        <w:pStyle w:val="Heading2"/>
        <w:numPr>
          <w:ilvl w:val="1"/>
          <w:numId w:val="8"/>
        </w:numPr>
        <w:ind w:left="720" w:hanging="720"/>
      </w:pPr>
      <w:r>
        <w:t>Declared Unit</w:t>
      </w:r>
    </w:p>
    <w:p w:rsidR="001F1B70" w:rsidRDefault="00D67CA6">
      <w:r>
        <w:t xml:space="preserve">For EPDs not covering the complete life cycle, e.g. leaving out the use stage, a declared unit is defined. A declared unit shall be applied if the precise function of the product is not stated or not known. Conversion factors (e.g. density, thickness, moisture content, etc.) shall be provided in order to allow the users to conduct further calculations (e.g. transport impacts, energy simulations). </w:t>
      </w:r>
    </w:p>
    <w:p w:rsidR="001F1B70" w:rsidRDefault="00D67CA6">
      <w:pPr>
        <w:ind w:left="-5" w:right="47"/>
      </w:pPr>
      <w:r>
        <w:t>Table 2 summarizes declared units and functional units that are applicable for commercial steel door and frames.</w:t>
      </w:r>
    </w:p>
    <w:p w:rsidR="001F1B70" w:rsidRDefault="00D67CA6">
      <w:pPr>
        <w:keepNext/>
        <w:pBdr>
          <w:top w:val="nil"/>
          <w:left w:val="nil"/>
          <w:bottom w:val="nil"/>
          <w:right w:val="nil"/>
          <w:between w:val="nil"/>
        </w:pBdr>
        <w:spacing w:line="240" w:lineRule="auto"/>
        <w:rPr>
          <w:rFonts w:ascii="Calibri" w:eastAsia="Calibri" w:hAnsi="Calibri" w:cs="Calibri"/>
          <w:b/>
          <w:smallCaps/>
          <w:color w:val="000000"/>
          <w:sz w:val="22"/>
          <w:szCs w:val="22"/>
        </w:rPr>
      </w:pPr>
      <w:bookmarkStart w:id="17" w:name="_44sinio" w:colFirst="0" w:colLast="0"/>
      <w:bookmarkEnd w:id="17"/>
      <w:r>
        <w:rPr>
          <w:b/>
          <w:smallCaps/>
          <w:color w:val="000000"/>
        </w:rPr>
        <w:t xml:space="preserve">Table 3. </w:t>
      </w:r>
      <w:r>
        <w:rPr>
          <w:rFonts w:ascii="Calibri" w:eastAsia="Calibri" w:hAnsi="Calibri" w:cs="Calibri"/>
          <w:b/>
          <w:smallCaps/>
          <w:color w:val="000000"/>
          <w:sz w:val="22"/>
          <w:szCs w:val="22"/>
        </w:rPr>
        <w:t>Steel Door and Frame Products Declared and Functional Units</w:t>
      </w:r>
    </w:p>
    <w:tbl>
      <w:tblPr>
        <w:tblStyle w:val="a4"/>
        <w:tblW w:w="98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72" w:type="dxa"/>
          <w:bottom w:w="43" w:type="dxa"/>
          <w:right w:w="72" w:type="dxa"/>
        </w:tblCellMar>
        <w:tblLook w:val="0000" w:firstRow="0" w:lastRow="0" w:firstColumn="0" w:lastColumn="0" w:noHBand="0" w:noVBand="0"/>
      </w:tblPr>
      <w:tblGrid>
        <w:gridCol w:w="2047"/>
        <w:gridCol w:w="3780"/>
        <w:gridCol w:w="3980"/>
      </w:tblGrid>
      <w:tr w:rsidR="001F1B70" w:rsidRPr="00692659" w:rsidTr="00692659">
        <w:trPr>
          <w:trHeight w:val="273"/>
        </w:trPr>
        <w:tc>
          <w:tcPr>
            <w:tcW w:w="2047" w:type="dxa"/>
            <w:shd w:val="clear" w:color="auto" w:fill="D9D9D9" w:themeFill="background1" w:themeFillShade="D9"/>
            <w:vAlign w:val="center"/>
          </w:tcPr>
          <w:p w:rsidR="001F1B70" w:rsidRPr="00692659" w:rsidRDefault="00D67CA6">
            <w:pPr>
              <w:pBdr>
                <w:top w:val="nil"/>
                <w:left w:val="nil"/>
                <w:bottom w:val="nil"/>
                <w:right w:val="nil"/>
                <w:between w:val="nil"/>
              </w:pBdr>
              <w:jc w:val="center"/>
              <w:rPr>
                <w:b/>
                <w:color w:val="000000"/>
                <w:sz w:val="16"/>
                <w:szCs w:val="16"/>
              </w:rPr>
            </w:pPr>
            <w:r w:rsidRPr="00692659">
              <w:rPr>
                <w:b/>
                <w:color w:val="000000"/>
                <w:sz w:val="16"/>
                <w:szCs w:val="16"/>
              </w:rPr>
              <w:t>Product</w:t>
            </w:r>
          </w:p>
        </w:tc>
        <w:tc>
          <w:tcPr>
            <w:tcW w:w="3780" w:type="dxa"/>
            <w:shd w:val="clear" w:color="auto" w:fill="D9D9D9" w:themeFill="background1" w:themeFillShade="D9"/>
            <w:vAlign w:val="center"/>
          </w:tcPr>
          <w:p w:rsidR="001F1B70" w:rsidRPr="00692659" w:rsidRDefault="00D67CA6">
            <w:pPr>
              <w:jc w:val="center"/>
              <w:rPr>
                <w:color w:val="000000"/>
                <w:sz w:val="16"/>
                <w:szCs w:val="16"/>
              </w:rPr>
            </w:pPr>
            <w:r w:rsidRPr="00692659">
              <w:rPr>
                <w:b/>
                <w:color w:val="000000"/>
                <w:sz w:val="16"/>
                <w:szCs w:val="16"/>
              </w:rPr>
              <w:t>Declared unit</w:t>
            </w:r>
          </w:p>
        </w:tc>
        <w:tc>
          <w:tcPr>
            <w:tcW w:w="3980" w:type="dxa"/>
            <w:shd w:val="clear" w:color="auto" w:fill="D9D9D9" w:themeFill="background1" w:themeFillShade="D9"/>
            <w:vAlign w:val="center"/>
          </w:tcPr>
          <w:p w:rsidR="001F1B70" w:rsidRPr="00692659" w:rsidRDefault="00D67CA6">
            <w:pPr>
              <w:jc w:val="center"/>
              <w:rPr>
                <w:color w:val="000000"/>
                <w:sz w:val="16"/>
                <w:szCs w:val="16"/>
              </w:rPr>
            </w:pPr>
            <w:r w:rsidRPr="00692659">
              <w:rPr>
                <w:b/>
                <w:color w:val="000000"/>
                <w:sz w:val="16"/>
                <w:szCs w:val="16"/>
              </w:rPr>
              <w:t>Functional unit</w:t>
            </w:r>
          </w:p>
        </w:tc>
      </w:tr>
      <w:tr w:rsidR="001F1B70" w:rsidRPr="00692659" w:rsidTr="00692659">
        <w:trPr>
          <w:trHeight w:val="550"/>
        </w:trPr>
        <w:tc>
          <w:tcPr>
            <w:tcW w:w="2047" w:type="dxa"/>
            <w:vAlign w:val="center"/>
          </w:tcPr>
          <w:p w:rsidR="001F1B70" w:rsidRPr="00692659" w:rsidRDefault="00D67CA6">
            <w:pPr>
              <w:pBdr>
                <w:top w:val="nil"/>
                <w:left w:val="nil"/>
                <w:bottom w:val="nil"/>
                <w:right w:val="nil"/>
                <w:between w:val="nil"/>
              </w:pBdr>
              <w:rPr>
                <w:color w:val="000000"/>
                <w:sz w:val="16"/>
                <w:szCs w:val="16"/>
              </w:rPr>
            </w:pPr>
            <w:r w:rsidRPr="00692659">
              <w:rPr>
                <w:color w:val="000000"/>
                <w:sz w:val="16"/>
                <w:szCs w:val="16"/>
              </w:rPr>
              <w:t>Commercial Steel Door</w:t>
            </w:r>
          </w:p>
        </w:tc>
        <w:tc>
          <w:tcPr>
            <w:tcW w:w="3780" w:type="dxa"/>
            <w:vAlign w:val="center"/>
          </w:tcPr>
          <w:p w:rsidR="001F1B70" w:rsidRPr="00692659" w:rsidRDefault="00D67CA6">
            <w:pPr>
              <w:rPr>
                <w:b/>
                <w:color w:val="000000"/>
                <w:sz w:val="16"/>
                <w:szCs w:val="16"/>
              </w:rPr>
            </w:pPr>
            <w:r w:rsidRPr="00692659">
              <w:rPr>
                <w:color w:val="000000"/>
                <w:sz w:val="16"/>
                <w:szCs w:val="16"/>
              </w:rPr>
              <w:t>One commercial steel door, nominal dimensions of 3-feet x 7-feet considered in isolation.</w:t>
            </w:r>
            <w:r w:rsidRPr="00692659">
              <w:rPr>
                <w:color w:val="000000"/>
                <w:sz w:val="16"/>
                <w:szCs w:val="16"/>
                <w:vertAlign w:val="superscript"/>
              </w:rPr>
              <w:t>1,3,5</w:t>
            </w:r>
          </w:p>
        </w:tc>
        <w:tc>
          <w:tcPr>
            <w:tcW w:w="3980" w:type="dxa"/>
            <w:vAlign w:val="center"/>
          </w:tcPr>
          <w:p w:rsidR="001F1B70" w:rsidRPr="00692659" w:rsidRDefault="00D67CA6">
            <w:pPr>
              <w:jc w:val="center"/>
              <w:rPr>
                <w:color w:val="000000"/>
                <w:sz w:val="16"/>
                <w:szCs w:val="16"/>
              </w:rPr>
            </w:pPr>
            <w:r w:rsidRPr="00692659">
              <w:rPr>
                <w:color w:val="000000"/>
                <w:sz w:val="16"/>
                <w:szCs w:val="16"/>
              </w:rPr>
              <w:t>N/A</w:t>
            </w:r>
          </w:p>
        </w:tc>
      </w:tr>
      <w:tr w:rsidR="001F1B70" w:rsidRPr="00692659" w:rsidTr="00692659">
        <w:trPr>
          <w:trHeight w:val="811"/>
        </w:trPr>
        <w:tc>
          <w:tcPr>
            <w:tcW w:w="2047" w:type="dxa"/>
            <w:vAlign w:val="center"/>
          </w:tcPr>
          <w:p w:rsidR="001F1B70" w:rsidRPr="00692659" w:rsidRDefault="00D67CA6">
            <w:pPr>
              <w:pBdr>
                <w:top w:val="nil"/>
                <w:left w:val="nil"/>
                <w:bottom w:val="nil"/>
                <w:right w:val="nil"/>
                <w:between w:val="nil"/>
              </w:pBdr>
              <w:rPr>
                <w:color w:val="000000"/>
                <w:sz w:val="16"/>
                <w:szCs w:val="16"/>
              </w:rPr>
            </w:pPr>
            <w:r w:rsidRPr="00692659">
              <w:rPr>
                <w:color w:val="000000"/>
                <w:sz w:val="16"/>
                <w:szCs w:val="16"/>
              </w:rPr>
              <w:t>Commercial Steel Door with Frame</w:t>
            </w:r>
          </w:p>
        </w:tc>
        <w:tc>
          <w:tcPr>
            <w:tcW w:w="3780" w:type="dxa"/>
            <w:vAlign w:val="center"/>
          </w:tcPr>
          <w:p w:rsidR="001F1B70" w:rsidRPr="00692659" w:rsidRDefault="00D67CA6">
            <w:pPr>
              <w:widowControl w:val="0"/>
              <w:pBdr>
                <w:top w:val="nil"/>
                <w:left w:val="nil"/>
                <w:bottom w:val="nil"/>
                <w:right w:val="nil"/>
                <w:between w:val="nil"/>
              </w:pBdr>
              <w:rPr>
                <w:color w:val="000000"/>
                <w:sz w:val="16"/>
                <w:szCs w:val="16"/>
              </w:rPr>
            </w:pPr>
            <w:r w:rsidRPr="00692659">
              <w:rPr>
                <w:color w:val="000000"/>
                <w:sz w:val="16"/>
                <w:szCs w:val="16"/>
              </w:rPr>
              <w:t xml:space="preserve">One commercial steel door, nominal dimensions of 3-feet x 7-feet </w:t>
            </w:r>
          </w:p>
          <w:p w:rsidR="001F1B70" w:rsidRPr="00692659" w:rsidRDefault="00D67CA6">
            <w:pPr>
              <w:widowControl w:val="0"/>
              <w:pBdr>
                <w:top w:val="nil"/>
                <w:left w:val="nil"/>
                <w:bottom w:val="nil"/>
                <w:right w:val="nil"/>
                <w:between w:val="nil"/>
              </w:pBdr>
              <w:rPr>
                <w:i/>
                <w:color w:val="000000"/>
                <w:sz w:val="16"/>
                <w:szCs w:val="16"/>
              </w:rPr>
            </w:pPr>
            <w:r w:rsidRPr="00692659">
              <w:rPr>
                <w:i/>
                <w:color w:val="000000"/>
                <w:sz w:val="16"/>
                <w:szCs w:val="16"/>
              </w:rPr>
              <w:t>with</w:t>
            </w:r>
          </w:p>
          <w:p w:rsidR="001F1B70" w:rsidRPr="00692659" w:rsidRDefault="00692659">
            <w:pPr>
              <w:widowControl w:val="0"/>
              <w:pBdr>
                <w:top w:val="nil"/>
                <w:left w:val="nil"/>
                <w:bottom w:val="nil"/>
                <w:right w:val="nil"/>
                <w:between w:val="nil"/>
              </w:pBdr>
              <w:rPr>
                <w:color w:val="000000"/>
                <w:sz w:val="16"/>
                <w:szCs w:val="16"/>
              </w:rPr>
            </w:pPr>
            <w:r>
              <w:rPr>
                <w:color w:val="000000"/>
                <w:sz w:val="16"/>
                <w:szCs w:val="16"/>
              </w:rPr>
              <w:t>O</w:t>
            </w:r>
            <w:r w:rsidR="00D67CA6" w:rsidRPr="00692659">
              <w:rPr>
                <w:color w:val="000000"/>
                <w:sz w:val="16"/>
                <w:szCs w:val="16"/>
              </w:rPr>
              <w:t>ne three-sided steel frame that can fit a door with nominal dimensions of 3-feet x 7-feet.</w:t>
            </w:r>
            <w:r w:rsidR="00D67CA6" w:rsidRPr="00692659">
              <w:rPr>
                <w:color w:val="000000"/>
                <w:sz w:val="16"/>
                <w:szCs w:val="16"/>
                <w:vertAlign w:val="superscript"/>
              </w:rPr>
              <w:t>1,2,3,5</w:t>
            </w:r>
          </w:p>
        </w:tc>
        <w:tc>
          <w:tcPr>
            <w:tcW w:w="3980" w:type="dxa"/>
            <w:vAlign w:val="center"/>
          </w:tcPr>
          <w:p w:rsidR="001F1B70" w:rsidRPr="00692659" w:rsidRDefault="00D67CA6">
            <w:pPr>
              <w:widowControl w:val="0"/>
              <w:pBdr>
                <w:top w:val="nil"/>
                <w:left w:val="nil"/>
                <w:bottom w:val="nil"/>
                <w:right w:val="nil"/>
                <w:between w:val="nil"/>
              </w:pBdr>
              <w:rPr>
                <w:color w:val="000000"/>
                <w:sz w:val="16"/>
                <w:szCs w:val="16"/>
              </w:rPr>
            </w:pPr>
            <w:r w:rsidRPr="00692659">
              <w:rPr>
                <w:color w:val="000000"/>
                <w:sz w:val="16"/>
                <w:szCs w:val="16"/>
              </w:rPr>
              <w:t xml:space="preserve">One installed commercial steel door, nominal dimensions of 3-feet x 7-feet </w:t>
            </w:r>
          </w:p>
          <w:p w:rsidR="001F1B70" w:rsidRPr="00692659" w:rsidRDefault="00D67CA6">
            <w:pPr>
              <w:widowControl w:val="0"/>
              <w:pBdr>
                <w:top w:val="nil"/>
                <w:left w:val="nil"/>
                <w:bottom w:val="nil"/>
                <w:right w:val="nil"/>
                <w:between w:val="nil"/>
              </w:pBdr>
              <w:rPr>
                <w:i/>
                <w:iCs/>
                <w:color w:val="000000"/>
                <w:sz w:val="16"/>
                <w:szCs w:val="16"/>
              </w:rPr>
            </w:pPr>
            <w:r w:rsidRPr="00692659">
              <w:rPr>
                <w:i/>
                <w:iCs/>
                <w:color w:val="000000"/>
                <w:sz w:val="16"/>
                <w:szCs w:val="16"/>
              </w:rPr>
              <w:t>with</w:t>
            </w:r>
          </w:p>
          <w:p w:rsidR="001F1B70" w:rsidRPr="00692659" w:rsidRDefault="00692659">
            <w:pPr>
              <w:widowControl w:val="0"/>
              <w:pBdr>
                <w:top w:val="nil"/>
                <w:left w:val="nil"/>
                <w:bottom w:val="nil"/>
                <w:right w:val="nil"/>
                <w:between w:val="nil"/>
              </w:pBdr>
              <w:rPr>
                <w:color w:val="000000"/>
                <w:sz w:val="16"/>
                <w:szCs w:val="16"/>
              </w:rPr>
            </w:pPr>
            <w:r>
              <w:rPr>
                <w:color w:val="000000"/>
                <w:sz w:val="16"/>
                <w:szCs w:val="16"/>
              </w:rPr>
              <w:t>O</w:t>
            </w:r>
            <w:r w:rsidR="00D67CA6" w:rsidRPr="00692659">
              <w:rPr>
                <w:color w:val="000000"/>
                <w:sz w:val="16"/>
                <w:szCs w:val="16"/>
              </w:rPr>
              <w:t>ne installed three-sided steel frame that can fit a door with nominal dimensions of 3-feet x 7-feet.</w:t>
            </w:r>
            <w:r w:rsidR="00D67CA6" w:rsidRPr="00692659">
              <w:rPr>
                <w:color w:val="000000"/>
                <w:sz w:val="16"/>
                <w:szCs w:val="16"/>
                <w:vertAlign w:val="superscript"/>
              </w:rPr>
              <w:t>1,2,3,5</w:t>
            </w:r>
          </w:p>
        </w:tc>
      </w:tr>
      <w:tr w:rsidR="001F1B70" w:rsidRPr="00692659" w:rsidTr="00692659">
        <w:trPr>
          <w:trHeight w:val="613"/>
        </w:trPr>
        <w:tc>
          <w:tcPr>
            <w:tcW w:w="2047" w:type="dxa"/>
            <w:vAlign w:val="center"/>
          </w:tcPr>
          <w:p w:rsidR="001F1B70" w:rsidRPr="00692659" w:rsidRDefault="00D67CA6">
            <w:pPr>
              <w:pBdr>
                <w:top w:val="nil"/>
                <w:left w:val="nil"/>
                <w:bottom w:val="nil"/>
                <w:right w:val="nil"/>
                <w:between w:val="nil"/>
              </w:pBdr>
              <w:rPr>
                <w:color w:val="000000"/>
                <w:sz w:val="16"/>
                <w:szCs w:val="16"/>
              </w:rPr>
            </w:pPr>
            <w:r w:rsidRPr="00692659">
              <w:rPr>
                <w:color w:val="000000"/>
                <w:sz w:val="16"/>
                <w:szCs w:val="16"/>
              </w:rPr>
              <w:t>Commercial Steel Frame</w:t>
            </w:r>
          </w:p>
        </w:tc>
        <w:tc>
          <w:tcPr>
            <w:tcW w:w="3780" w:type="dxa"/>
            <w:vAlign w:val="center"/>
          </w:tcPr>
          <w:p w:rsidR="001F1B70" w:rsidRPr="00692659" w:rsidRDefault="00D67CA6">
            <w:pPr>
              <w:widowControl w:val="0"/>
              <w:pBdr>
                <w:top w:val="nil"/>
                <w:left w:val="nil"/>
                <w:bottom w:val="nil"/>
                <w:right w:val="nil"/>
                <w:between w:val="nil"/>
              </w:pBdr>
              <w:rPr>
                <w:color w:val="000000"/>
                <w:sz w:val="16"/>
                <w:szCs w:val="16"/>
              </w:rPr>
            </w:pPr>
            <w:r w:rsidRPr="00692659">
              <w:rPr>
                <w:color w:val="000000"/>
                <w:sz w:val="16"/>
                <w:szCs w:val="16"/>
              </w:rPr>
              <w:t>One commercial three-sided steel frame that can fit a door with nominal dimension of 3-feet x 7-feet.</w:t>
            </w:r>
            <w:r w:rsidRPr="00692659">
              <w:rPr>
                <w:color w:val="000000"/>
                <w:sz w:val="16"/>
                <w:szCs w:val="16"/>
                <w:vertAlign w:val="superscript"/>
              </w:rPr>
              <w:t>2,4,5</w:t>
            </w:r>
          </w:p>
        </w:tc>
        <w:tc>
          <w:tcPr>
            <w:tcW w:w="3980" w:type="dxa"/>
            <w:vAlign w:val="center"/>
          </w:tcPr>
          <w:p w:rsidR="001F1B70" w:rsidRPr="00692659" w:rsidRDefault="00D67CA6" w:rsidP="00692659">
            <w:pPr>
              <w:widowControl w:val="0"/>
              <w:pBdr>
                <w:top w:val="nil"/>
                <w:left w:val="nil"/>
                <w:bottom w:val="nil"/>
                <w:right w:val="nil"/>
                <w:between w:val="nil"/>
              </w:pBdr>
              <w:rPr>
                <w:color w:val="000000"/>
                <w:sz w:val="16"/>
                <w:szCs w:val="16"/>
              </w:rPr>
            </w:pPr>
            <w:r w:rsidRPr="00692659">
              <w:rPr>
                <w:color w:val="000000"/>
                <w:sz w:val="16"/>
                <w:szCs w:val="16"/>
              </w:rPr>
              <w:t>One installed commercial three-sided steel frame that can fit a door with nominal dimension of 3-feet x 7-feet.</w:t>
            </w:r>
            <w:r w:rsidRPr="00692659">
              <w:rPr>
                <w:color w:val="000000"/>
                <w:sz w:val="16"/>
                <w:szCs w:val="16"/>
                <w:vertAlign w:val="superscript"/>
              </w:rPr>
              <w:t>2,4,5</w:t>
            </w:r>
          </w:p>
        </w:tc>
      </w:tr>
    </w:tbl>
    <w:p w:rsidR="001F1B70" w:rsidRDefault="00D67CA6">
      <w:pPr>
        <w:numPr>
          <w:ilvl w:val="0"/>
          <w:numId w:val="18"/>
        </w:numPr>
        <w:pBdr>
          <w:top w:val="nil"/>
          <w:left w:val="nil"/>
          <w:bottom w:val="nil"/>
          <w:right w:val="nil"/>
          <w:between w:val="nil"/>
        </w:pBdr>
        <w:spacing w:after="0" w:line="240" w:lineRule="auto"/>
        <w:ind w:left="450" w:hanging="270"/>
        <w:rPr>
          <w:color w:val="000000"/>
          <w:sz w:val="16"/>
          <w:szCs w:val="16"/>
        </w:rPr>
      </w:pPr>
      <w:r>
        <w:rPr>
          <w:color w:val="000000"/>
          <w:sz w:val="16"/>
          <w:szCs w:val="16"/>
        </w:rPr>
        <w:t>A scaling factor based on one square foot of commercial steel door shall be provided</w:t>
      </w:r>
    </w:p>
    <w:p w:rsidR="001F1B70" w:rsidRDefault="00D67CA6">
      <w:pPr>
        <w:numPr>
          <w:ilvl w:val="0"/>
          <w:numId w:val="18"/>
        </w:numPr>
        <w:pBdr>
          <w:top w:val="nil"/>
          <w:left w:val="nil"/>
          <w:bottom w:val="nil"/>
          <w:right w:val="nil"/>
          <w:between w:val="nil"/>
        </w:pBdr>
        <w:spacing w:after="0" w:line="240" w:lineRule="auto"/>
        <w:ind w:left="450" w:hanging="270"/>
        <w:rPr>
          <w:color w:val="000000"/>
          <w:sz w:val="16"/>
          <w:szCs w:val="16"/>
        </w:rPr>
      </w:pPr>
      <w:r>
        <w:rPr>
          <w:color w:val="000000"/>
          <w:sz w:val="16"/>
          <w:szCs w:val="16"/>
        </w:rPr>
        <w:t>A scaling factor based on one linear foot of steel frame shall be provided</w:t>
      </w:r>
    </w:p>
    <w:p w:rsidR="001F1B70" w:rsidRDefault="00D67CA6">
      <w:pPr>
        <w:numPr>
          <w:ilvl w:val="0"/>
          <w:numId w:val="18"/>
        </w:numPr>
        <w:pBdr>
          <w:top w:val="nil"/>
          <w:left w:val="nil"/>
          <w:bottom w:val="nil"/>
          <w:right w:val="nil"/>
          <w:between w:val="nil"/>
        </w:pBdr>
        <w:spacing w:after="0" w:line="240" w:lineRule="auto"/>
        <w:ind w:left="450" w:hanging="270"/>
        <w:rPr>
          <w:color w:val="000000"/>
          <w:sz w:val="16"/>
          <w:szCs w:val="16"/>
        </w:rPr>
      </w:pPr>
      <w:r>
        <w:rPr>
          <w:color w:val="000000"/>
          <w:sz w:val="16"/>
          <w:szCs w:val="16"/>
        </w:rPr>
        <w:t>Doors with dimensions other than 3-feet by 7-feet may be additionally reported</w:t>
      </w:r>
    </w:p>
    <w:p w:rsidR="001F1B70" w:rsidRDefault="00D67CA6">
      <w:pPr>
        <w:numPr>
          <w:ilvl w:val="0"/>
          <w:numId w:val="18"/>
        </w:numPr>
        <w:pBdr>
          <w:top w:val="nil"/>
          <w:left w:val="nil"/>
          <w:bottom w:val="nil"/>
          <w:right w:val="nil"/>
          <w:between w:val="nil"/>
        </w:pBdr>
        <w:spacing w:after="0" w:line="240" w:lineRule="auto"/>
        <w:ind w:left="450" w:hanging="270"/>
        <w:rPr>
          <w:color w:val="000000"/>
          <w:sz w:val="16"/>
          <w:szCs w:val="16"/>
        </w:rPr>
      </w:pPr>
      <w:r>
        <w:rPr>
          <w:color w:val="000000"/>
          <w:sz w:val="16"/>
          <w:szCs w:val="16"/>
        </w:rPr>
        <w:t>Frames capable of supporting dimensions other than 3-feet by 7-feet may be reported</w:t>
      </w:r>
    </w:p>
    <w:p w:rsidR="001F1B70" w:rsidRDefault="00D67CA6">
      <w:pPr>
        <w:numPr>
          <w:ilvl w:val="0"/>
          <w:numId w:val="18"/>
        </w:numPr>
        <w:pBdr>
          <w:top w:val="nil"/>
          <w:left w:val="nil"/>
          <w:bottom w:val="nil"/>
          <w:right w:val="nil"/>
          <w:between w:val="nil"/>
        </w:pBdr>
        <w:spacing w:after="0" w:line="240" w:lineRule="auto"/>
        <w:ind w:left="450" w:hanging="270"/>
        <w:rPr>
          <w:color w:val="000000"/>
          <w:sz w:val="16"/>
          <w:szCs w:val="16"/>
        </w:rPr>
      </w:pPr>
      <w:r>
        <w:rPr>
          <w:color w:val="000000"/>
          <w:sz w:val="16"/>
          <w:szCs w:val="16"/>
        </w:rPr>
        <w:t>Must include a prime painted finish per ANSI A250.10 with the exception of stainless steel</w:t>
      </w:r>
    </w:p>
    <w:p w:rsidR="001F1B70" w:rsidRDefault="001F1B70">
      <w:pPr>
        <w:ind w:left="-5" w:right="47"/>
      </w:pPr>
    </w:p>
    <w:p w:rsidR="001F1B70" w:rsidRDefault="00D67CA6">
      <w:pPr>
        <w:ind w:left="-5" w:right="47"/>
      </w:pPr>
      <w:r>
        <w:t>The functional or declared unit, mass, and thickness to achieve the functional or declared unit shall be indicated in Table 4 as declared.</w:t>
      </w:r>
    </w:p>
    <w:p w:rsidR="001F1B70" w:rsidRDefault="00D67CA6">
      <w:pPr>
        <w:pStyle w:val="Subtitle"/>
      </w:pPr>
      <w:bookmarkStart w:id="18" w:name="_2jxsxqh" w:colFirst="0" w:colLast="0"/>
      <w:bookmarkEnd w:id="18"/>
      <w:r>
        <w:t>Table 4. Functional or Declared Unit Properties</w:t>
      </w:r>
    </w:p>
    <w:tbl>
      <w:tblPr>
        <w:tblStyle w:val="a5"/>
        <w:tblW w:w="6579" w:type="dxa"/>
        <w:tblInd w:w="-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2" w:type="dxa"/>
          <w:right w:w="72" w:type="dxa"/>
        </w:tblCellMar>
        <w:tblLook w:val="0400" w:firstRow="0" w:lastRow="0" w:firstColumn="0" w:lastColumn="0" w:noHBand="0" w:noVBand="1"/>
      </w:tblPr>
      <w:tblGrid>
        <w:gridCol w:w="1809"/>
        <w:gridCol w:w="2070"/>
        <w:gridCol w:w="2700"/>
      </w:tblGrid>
      <w:tr w:rsidR="001F1B70" w:rsidTr="00692659">
        <w:trPr>
          <w:trHeight w:val="220"/>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9" w:lineRule="auto"/>
              <w:rPr>
                <w:sz w:val="18"/>
                <w:szCs w:val="18"/>
              </w:rPr>
            </w:pPr>
            <w:r>
              <w:rPr>
                <w:b/>
                <w:sz w:val="18"/>
                <w:szCs w:val="18"/>
              </w:rPr>
              <w:t>Name</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9" w:lineRule="auto"/>
              <w:ind w:left="137"/>
              <w:rPr>
                <w:sz w:val="18"/>
                <w:szCs w:val="18"/>
              </w:rPr>
            </w:pPr>
            <w:r>
              <w:rPr>
                <w:b/>
                <w:sz w:val="18"/>
                <w:szCs w:val="18"/>
              </w:rPr>
              <w:t>Value</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9" w:lineRule="auto"/>
              <w:ind w:left="112"/>
              <w:jc w:val="center"/>
              <w:rPr>
                <w:sz w:val="18"/>
                <w:szCs w:val="18"/>
              </w:rPr>
            </w:pPr>
            <w:r>
              <w:rPr>
                <w:b/>
                <w:sz w:val="18"/>
                <w:szCs w:val="18"/>
              </w:rPr>
              <w:t>Unit</w:t>
            </w:r>
          </w:p>
        </w:tc>
      </w:tr>
      <w:tr w:rsidR="001F1B70" w:rsidTr="00692659">
        <w:trPr>
          <w:trHeight w:val="460"/>
        </w:trPr>
        <w:tc>
          <w:tcPr>
            <w:tcW w:w="180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8"/>
                <w:szCs w:val="18"/>
              </w:rPr>
            </w:pPr>
            <w:r>
              <w:rPr>
                <w:sz w:val="18"/>
                <w:szCs w:val="18"/>
              </w:rPr>
              <w:t>Functional or Declared unit</w:t>
            </w:r>
          </w:p>
        </w:tc>
        <w:tc>
          <w:tcPr>
            <w:tcW w:w="4770" w:type="dxa"/>
            <w:gridSpan w:val="2"/>
            <w:tcBorders>
              <w:top w:val="single" w:sz="4" w:space="0" w:color="000000"/>
              <w:left w:val="single" w:sz="4" w:space="0" w:color="000000"/>
              <w:bottom w:val="single" w:sz="4" w:space="0" w:color="000000"/>
              <w:right w:val="single" w:sz="4" w:space="0" w:color="000000"/>
            </w:tcBorders>
            <w:vAlign w:val="center"/>
          </w:tcPr>
          <w:p w:rsidR="001F1B70" w:rsidRDefault="001F1B70">
            <w:pPr>
              <w:spacing w:line="259" w:lineRule="auto"/>
              <w:ind w:left="112"/>
              <w:jc w:val="center"/>
              <w:rPr>
                <w:sz w:val="18"/>
                <w:szCs w:val="18"/>
              </w:rPr>
            </w:pPr>
          </w:p>
        </w:tc>
      </w:tr>
      <w:tr w:rsidR="001F1B70" w:rsidTr="00692659">
        <w:trPr>
          <w:trHeight w:val="80"/>
        </w:trPr>
        <w:tc>
          <w:tcPr>
            <w:tcW w:w="180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8"/>
                <w:szCs w:val="18"/>
              </w:rPr>
            </w:pPr>
            <w:r>
              <w:rPr>
                <w:sz w:val="18"/>
                <w:szCs w:val="18"/>
              </w:rPr>
              <w:t>Mass</w:t>
            </w:r>
          </w:p>
        </w:tc>
        <w:tc>
          <w:tcPr>
            <w:tcW w:w="2070" w:type="dxa"/>
            <w:tcBorders>
              <w:top w:val="single" w:sz="4" w:space="0" w:color="000000"/>
              <w:left w:val="single" w:sz="4" w:space="0" w:color="000000"/>
              <w:bottom w:val="single" w:sz="4" w:space="0" w:color="000000"/>
              <w:right w:val="single" w:sz="4" w:space="0" w:color="000000"/>
            </w:tcBorders>
          </w:tcPr>
          <w:p w:rsidR="001F1B70" w:rsidRDefault="001F1B70">
            <w:pPr>
              <w:spacing w:after="160" w:line="259" w:lineRule="auto"/>
              <w:rPr>
                <w:sz w:val="18"/>
                <w:szCs w:val="18"/>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1F1B70" w:rsidRDefault="00D67CA6">
            <w:pPr>
              <w:spacing w:line="259" w:lineRule="auto"/>
              <w:jc w:val="center"/>
              <w:rPr>
                <w:sz w:val="18"/>
                <w:szCs w:val="18"/>
              </w:rPr>
            </w:pPr>
            <w:r>
              <w:rPr>
                <w:sz w:val="18"/>
                <w:szCs w:val="18"/>
              </w:rPr>
              <w:t>kg</w:t>
            </w:r>
          </w:p>
        </w:tc>
      </w:tr>
      <w:tr w:rsidR="001F1B70" w:rsidTr="00692659">
        <w:trPr>
          <w:trHeight w:val="340"/>
        </w:trPr>
        <w:tc>
          <w:tcPr>
            <w:tcW w:w="180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8"/>
                <w:szCs w:val="18"/>
                <w:highlight w:val="white"/>
              </w:rPr>
            </w:pPr>
            <w:r>
              <w:rPr>
                <w:sz w:val="18"/>
                <w:szCs w:val="18"/>
                <w:highlight w:val="white"/>
              </w:rPr>
              <w:t>Thickness to achieve Functional or Declared Unit</w:t>
            </w:r>
          </w:p>
        </w:tc>
        <w:tc>
          <w:tcPr>
            <w:tcW w:w="2070" w:type="dxa"/>
            <w:tcBorders>
              <w:top w:val="single" w:sz="4" w:space="0" w:color="000000"/>
              <w:left w:val="single" w:sz="4" w:space="0" w:color="000000"/>
              <w:bottom w:val="single" w:sz="4" w:space="0" w:color="000000"/>
              <w:right w:val="single" w:sz="4" w:space="0" w:color="000000"/>
            </w:tcBorders>
            <w:vAlign w:val="center"/>
          </w:tcPr>
          <w:p w:rsidR="001F1B70" w:rsidRDefault="001F1B70">
            <w:pPr>
              <w:spacing w:after="160" w:line="259" w:lineRule="auto"/>
              <w:rPr>
                <w:sz w:val="18"/>
                <w:szCs w:val="18"/>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1F1B70" w:rsidRDefault="00D67CA6">
            <w:pPr>
              <w:spacing w:line="259" w:lineRule="auto"/>
              <w:jc w:val="center"/>
              <w:rPr>
                <w:sz w:val="18"/>
                <w:szCs w:val="18"/>
              </w:rPr>
            </w:pPr>
            <w:r>
              <w:rPr>
                <w:sz w:val="18"/>
                <w:szCs w:val="18"/>
              </w:rPr>
              <w:t>m</w:t>
            </w:r>
          </w:p>
        </w:tc>
      </w:tr>
      <w:tr w:rsidR="001F1B70" w:rsidTr="00692659">
        <w:trPr>
          <w:trHeight w:val="340"/>
        </w:trPr>
        <w:tc>
          <w:tcPr>
            <w:tcW w:w="180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8"/>
                <w:szCs w:val="18"/>
                <w:highlight w:val="white"/>
              </w:rPr>
            </w:pPr>
            <w:r>
              <w:rPr>
                <w:sz w:val="18"/>
                <w:szCs w:val="18"/>
                <w:highlight w:val="white"/>
              </w:rPr>
              <w:t>Density</w:t>
            </w:r>
          </w:p>
        </w:tc>
        <w:tc>
          <w:tcPr>
            <w:tcW w:w="2070" w:type="dxa"/>
            <w:tcBorders>
              <w:top w:val="single" w:sz="4" w:space="0" w:color="000000"/>
              <w:left w:val="single" w:sz="4" w:space="0" w:color="000000"/>
              <w:bottom w:val="single" w:sz="4" w:space="0" w:color="000000"/>
              <w:right w:val="single" w:sz="4" w:space="0" w:color="000000"/>
            </w:tcBorders>
            <w:vAlign w:val="center"/>
          </w:tcPr>
          <w:p w:rsidR="001F1B70" w:rsidRDefault="001F1B70">
            <w:pPr>
              <w:spacing w:after="160" w:line="259" w:lineRule="auto"/>
              <w:rPr>
                <w:sz w:val="18"/>
                <w:szCs w:val="18"/>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1F1B70" w:rsidRDefault="00D67CA6">
            <w:pPr>
              <w:spacing w:line="259" w:lineRule="auto"/>
              <w:jc w:val="center"/>
              <w:rPr>
                <w:sz w:val="18"/>
                <w:szCs w:val="18"/>
              </w:rPr>
            </w:pPr>
            <w:r>
              <w:rPr>
                <w:sz w:val="18"/>
                <w:szCs w:val="18"/>
              </w:rPr>
              <w:t>kg/m</w:t>
            </w:r>
            <w:r>
              <w:rPr>
                <w:sz w:val="18"/>
                <w:szCs w:val="18"/>
                <w:vertAlign w:val="superscript"/>
              </w:rPr>
              <w:t>3</w:t>
            </w:r>
          </w:p>
        </w:tc>
      </w:tr>
    </w:tbl>
    <w:p w:rsidR="001F1B70" w:rsidRDefault="00D67CA6">
      <w:pPr>
        <w:keepNext/>
        <w:keepLines/>
        <w:numPr>
          <w:ilvl w:val="1"/>
          <w:numId w:val="9"/>
        </w:numPr>
        <w:pBdr>
          <w:top w:val="none" w:sz="0" w:space="0" w:color="000000"/>
          <w:left w:val="none" w:sz="0" w:space="0" w:color="000000"/>
          <w:bottom w:val="none" w:sz="0" w:space="0" w:color="000000"/>
          <w:right w:val="none" w:sz="0" w:space="0" w:color="000000"/>
          <w:between w:val="none" w:sz="0" w:space="0" w:color="000000"/>
        </w:pBdr>
        <w:spacing w:before="240" w:after="162" w:line="259" w:lineRule="auto"/>
        <w:ind w:left="432"/>
      </w:pPr>
      <w:bookmarkStart w:id="19" w:name="_z337ya" w:colFirst="0" w:colLast="0"/>
      <w:bookmarkEnd w:id="19"/>
      <w:r>
        <w:rPr>
          <w:rFonts w:ascii="Calibri" w:eastAsia="Calibri" w:hAnsi="Calibri" w:cs="Calibri"/>
          <w:b/>
          <w:smallCaps/>
          <w:color w:val="000000"/>
          <w:sz w:val="22"/>
          <w:szCs w:val="22"/>
        </w:rPr>
        <w:lastRenderedPageBreak/>
        <w:t>System boundary</w:t>
      </w:r>
    </w:p>
    <w:p w:rsidR="001F1B70" w:rsidRDefault="00D67CA6">
      <w:pPr>
        <w:ind w:left="-5" w:right="47"/>
      </w:pPr>
      <w:r>
        <w:t>The type of EPD shall be specified as cradle to gate, cradle to gate with options (end of life), or cradle to grave. The modules considered in the LCA shall be described in brief as per “System boundaries” outlined in Part A, Section 2.8. It should be apparent as to what processes are considered in what modules per the module descriptions in Part A, Section 2.8. Any relevant aspects or impacts not included in an information module shall be supported with relevant additional environmental information and any omissions shall be justified. Module D shall be reported separately if included in the EPD.</w:t>
      </w:r>
    </w:p>
    <w:p w:rsidR="001F1B70" w:rsidRDefault="00D67CA6">
      <w:pPr>
        <w:ind w:left="-5" w:right="47"/>
      </w:pPr>
      <w:bookmarkStart w:id="20" w:name="_3j2qqm3" w:colFirst="0" w:colLast="0"/>
      <w:bookmarkEnd w:id="20"/>
      <w:r>
        <w:t>The inclusion of capital goods and infrastructure flows shall conform with Part A, Section 2.9. If included, the LCA report should specify lifetimes of capital goods and infrastructure. The impact burden from capital goods and infrastructure shall be allocated to the product(s) in the LCA by either a) proportional to the specified lifetime of the asset, or b) proportional to the production output of the asset. Any deviation shall be explicitly specified and justified.</w:t>
      </w:r>
    </w:p>
    <w:p w:rsidR="001F1B70" w:rsidRDefault="00D67CA6">
      <w:pPr>
        <w:pStyle w:val="Heading2"/>
        <w:numPr>
          <w:ilvl w:val="1"/>
          <w:numId w:val="9"/>
        </w:numPr>
        <w:ind w:left="720" w:hanging="720"/>
      </w:pPr>
      <w:r>
        <w:t xml:space="preserve">Reference Service Life and Estimated Building service life </w:t>
      </w:r>
    </w:p>
    <w:p w:rsidR="001F1B70" w:rsidRDefault="00D67CA6">
      <w:pPr>
        <w:pBdr>
          <w:top w:val="nil"/>
          <w:left w:val="nil"/>
          <w:bottom w:val="nil"/>
          <w:right w:val="nil"/>
          <w:between w:val="nil"/>
        </w:pBdr>
        <w:spacing w:after="0"/>
        <w:ind w:right="47"/>
        <w:rPr>
          <w:color w:val="000000"/>
        </w:rPr>
      </w:pPr>
      <w:r>
        <w:rPr>
          <w:color w:val="000000"/>
        </w:rPr>
        <w:t>The product reference service life (RSL) and building estimated service life (ESL) shall be indicated according to Part A, Section 2.8.2. RSL is only required when reporting EPD system boundaries beyond cradle-to-gate.</w:t>
      </w:r>
    </w:p>
    <w:p w:rsidR="001F1B70" w:rsidRDefault="001F1B70">
      <w:pPr>
        <w:pBdr>
          <w:top w:val="nil"/>
          <w:left w:val="nil"/>
          <w:bottom w:val="nil"/>
          <w:right w:val="nil"/>
          <w:between w:val="nil"/>
        </w:pBdr>
        <w:spacing w:after="0"/>
        <w:ind w:right="47"/>
        <w:rPr>
          <w:color w:val="000000"/>
        </w:rPr>
      </w:pPr>
    </w:p>
    <w:p w:rsidR="001F1B70" w:rsidRDefault="00D67CA6">
      <w:pPr>
        <w:pBdr>
          <w:top w:val="nil"/>
          <w:left w:val="nil"/>
          <w:bottom w:val="nil"/>
          <w:right w:val="nil"/>
          <w:between w:val="nil"/>
        </w:pBdr>
        <w:spacing w:after="4"/>
        <w:ind w:right="47"/>
        <w:rPr>
          <w:color w:val="000000"/>
        </w:rPr>
      </w:pPr>
      <w:r>
        <w:rPr>
          <w:color w:val="000000"/>
        </w:rPr>
        <w:t>For all commercial steel door and steel frame products, a default value of 25 years shall be assumed for RSL unless otherwise justified.</w:t>
      </w:r>
      <w:r>
        <w:rPr>
          <w:color w:val="000000"/>
          <w:vertAlign w:val="superscript"/>
        </w:rPr>
        <w:footnoteReference w:id="3"/>
      </w:r>
      <w:r>
        <w:rPr>
          <w:color w:val="000000"/>
        </w:rPr>
        <w:t xml:space="preserve">  The RSL of a steel door shall be considered equal to that of a steel frame if both door and frame are included in the declared unit. If the RSL of the product exceeds building ESL of 75 years, one product will still be required to fulfill the declared or functional unit and the replacement factor is considered to be 1.</w:t>
      </w:r>
    </w:p>
    <w:p w:rsidR="001F1B70" w:rsidRDefault="001F1B70">
      <w:pPr>
        <w:pBdr>
          <w:top w:val="nil"/>
          <w:left w:val="nil"/>
          <w:bottom w:val="nil"/>
          <w:right w:val="nil"/>
          <w:between w:val="nil"/>
        </w:pBdr>
        <w:spacing w:after="4"/>
        <w:ind w:right="47"/>
        <w:rPr>
          <w:color w:val="000000"/>
        </w:rPr>
      </w:pPr>
    </w:p>
    <w:p w:rsidR="001F1B70" w:rsidRDefault="00D67CA6">
      <w:pPr>
        <w:pBdr>
          <w:top w:val="nil"/>
          <w:left w:val="nil"/>
          <w:bottom w:val="nil"/>
          <w:right w:val="nil"/>
          <w:between w:val="nil"/>
        </w:pBdr>
        <w:spacing w:after="4"/>
        <w:ind w:right="47"/>
        <w:rPr>
          <w:color w:val="000000"/>
        </w:rPr>
      </w:pPr>
      <w:r>
        <w:rPr>
          <w:color w:val="000000"/>
        </w:rPr>
        <w:t xml:space="preserve">If included, details on RSL shall be provided in Section ‎4, </w:t>
      </w:r>
      <w:r>
        <w:t>Table 6</w:t>
      </w:r>
      <w:r>
        <w:rPr>
          <w:color w:val="000000"/>
        </w:rPr>
        <w:t xml:space="preserve">. Influences on ageing, when applied, shall be in accordance with the state of the art. </w:t>
      </w:r>
    </w:p>
    <w:p w:rsidR="001F1B70" w:rsidRDefault="00D67CA6">
      <w:pPr>
        <w:pStyle w:val="Heading2"/>
        <w:numPr>
          <w:ilvl w:val="1"/>
          <w:numId w:val="9"/>
        </w:numPr>
        <w:ind w:left="720" w:hanging="720"/>
      </w:pPr>
      <w:r>
        <w:t>Allocation</w:t>
      </w:r>
    </w:p>
    <w:p w:rsidR="001F1B70" w:rsidRDefault="00D67CA6">
      <w:pPr>
        <w:ind w:left="-5" w:right="47"/>
      </w:pPr>
      <w:r>
        <w:t>Part A, Section 3.3 shall be used as the basis for allocation decisions, and mass should be used as the primary basis for co-product allocation in this Part B. Allocation methods deemed more appropriate than on the basis of mass may be used but only when justified. The allocations of relevance for calculation (appropriation of impacts across various products) shall be indicated, at least:</w:t>
      </w:r>
    </w:p>
    <w:p w:rsidR="001F1B70" w:rsidRDefault="00D67CA6">
      <w:pPr>
        <w:numPr>
          <w:ilvl w:val="0"/>
          <w:numId w:val="20"/>
        </w:numPr>
        <w:spacing w:after="4"/>
        <w:ind w:right="47" w:hanging="357"/>
      </w:pPr>
      <w:r>
        <w:t>Allocation in the use of recycled and/or secondary raw materials</w:t>
      </w:r>
    </w:p>
    <w:p w:rsidR="001F1B70" w:rsidRDefault="00D67CA6">
      <w:pPr>
        <w:numPr>
          <w:ilvl w:val="0"/>
          <w:numId w:val="20"/>
        </w:numPr>
        <w:spacing w:after="4"/>
        <w:ind w:right="47" w:hanging="357"/>
      </w:pPr>
      <w:r>
        <w:t>Allocation of energy, ancillary and operating materials used for individual products in a factory</w:t>
      </w:r>
    </w:p>
    <w:p w:rsidR="001F1B70" w:rsidRDefault="00D67CA6">
      <w:pPr>
        <w:tabs>
          <w:tab w:val="center" w:pos="381"/>
          <w:tab w:val="center" w:pos="697"/>
        </w:tabs>
        <w:spacing w:after="0" w:line="259" w:lineRule="auto"/>
      </w:pPr>
      <w:r>
        <w:rPr>
          <w:rFonts w:ascii="Calibri" w:eastAsia="Calibri" w:hAnsi="Calibri" w:cs="Calibri"/>
          <w:sz w:val="22"/>
          <w:szCs w:val="22"/>
        </w:rPr>
        <w:tab/>
      </w:r>
      <w:r>
        <w:t xml:space="preserve">  </w:t>
      </w:r>
    </w:p>
    <w:p w:rsidR="001F1B70" w:rsidRDefault="00D67CA6">
      <w:pPr>
        <w:ind w:left="-5" w:right="47"/>
      </w:pPr>
      <w:r>
        <w:t>whereby reference shall be made to the modules in which the allocations are performed.</w:t>
      </w:r>
    </w:p>
    <w:p w:rsidR="001F1B70" w:rsidRDefault="00D67CA6">
      <w:pPr>
        <w:pStyle w:val="Heading2"/>
        <w:numPr>
          <w:ilvl w:val="1"/>
          <w:numId w:val="9"/>
        </w:numPr>
        <w:ind w:left="720" w:hanging="720"/>
      </w:pPr>
      <w:r>
        <w:t>Cut-off Rules</w:t>
      </w:r>
    </w:p>
    <w:p w:rsidR="001F1B70" w:rsidRDefault="00D67CA6">
      <w:pPr>
        <w:ind w:left="-5" w:right="47"/>
      </w:pPr>
      <w:r>
        <w:t xml:space="preserve">Cut-off rules as specified per the Part A, Section 2.9 shall be used and documented. All known mass and energy flows shall be reported. No known flows should be deliberately excluded. </w:t>
      </w:r>
    </w:p>
    <w:p w:rsidR="001F1B70" w:rsidRDefault="00D67CA6">
      <w:pPr>
        <w:pStyle w:val="Heading2"/>
        <w:numPr>
          <w:ilvl w:val="1"/>
          <w:numId w:val="9"/>
        </w:numPr>
        <w:ind w:left="720" w:hanging="720"/>
      </w:pPr>
      <w:r>
        <w:t>Data Sources</w:t>
      </w:r>
    </w:p>
    <w:p w:rsidR="001F1B70" w:rsidRDefault="00D67CA6">
      <w:r>
        <w:t>Data sources shall be documented per Part A, Section 3.1.</w:t>
      </w:r>
    </w:p>
    <w:p w:rsidR="001F1B70" w:rsidRDefault="00D67CA6">
      <w:pPr>
        <w:pStyle w:val="Heading2"/>
        <w:numPr>
          <w:ilvl w:val="1"/>
          <w:numId w:val="9"/>
        </w:numPr>
        <w:ind w:left="720" w:hanging="720"/>
      </w:pPr>
      <w:r>
        <w:t>Data quality</w:t>
      </w:r>
    </w:p>
    <w:p w:rsidR="001F1B70" w:rsidRDefault="00D67CA6">
      <w:pPr>
        <w:rPr>
          <w:rFonts w:ascii="Calibri" w:eastAsia="Calibri" w:hAnsi="Calibri" w:cs="Calibri"/>
          <w:sz w:val="22"/>
          <w:szCs w:val="22"/>
        </w:rPr>
      </w:pPr>
      <w:r>
        <w:t>An evaluation shall be provided regarding data quality, including temporal, geographical, technological representativeness, and completeness and shall follow the requirements outlined in Part A, Section 3.1.1.</w:t>
      </w:r>
    </w:p>
    <w:p w:rsidR="001F1B70" w:rsidRDefault="00D67CA6">
      <w:pPr>
        <w:pStyle w:val="Heading2"/>
        <w:numPr>
          <w:ilvl w:val="1"/>
          <w:numId w:val="9"/>
        </w:numPr>
        <w:ind w:left="720" w:hanging="720"/>
      </w:pPr>
      <w:r>
        <w:t>Period under review</w:t>
      </w:r>
    </w:p>
    <w:p w:rsidR="001F1B70" w:rsidRDefault="00D67CA6">
      <w:pPr>
        <w:ind w:left="-5" w:right="47"/>
      </w:pPr>
      <w:r>
        <w:t>The period under review and ensuing averages shall be documented.</w:t>
      </w:r>
    </w:p>
    <w:p w:rsidR="001F1B70" w:rsidRDefault="00D67CA6">
      <w:pPr>
        <w:pStyle w:val="Heading2"/>
        <w:numPr>
          <w:ilvl w:val="1"/>
          <w:numId w:val="9"/>
        </w:numPr>
        <w:ind w:left="720" w:hanging="720"/>
      </w:pPr>
      <w:r>
        <w:t>Treatment of Biogenic Carbon</w:t>
      </w:r>
    </w:p>
    <w:p w:rsidR="001F1B70" w:rsidRDefault="00D67CA6">
      <w:pPr>
        <w:ind w:right="47"/>
      </w:pPr>
      <w:r>
        <w:t xml:space="preserve">Accounting for the uptake and release of biogenic carbon throughout the product life cycle shall follow Section 7.2.7 of ISO 21930:2017. </w:t>
      </w:r>
    </w:p>
    <w:p w:rsidR="001F1B70" w:rsidRDefault="00D67CA6">
      <w:pPr>
        <w:pStyle w:val="Heading2"/>
        <w:numPr>
          <w:ilvl w:val="1"/>
          <w:numId w:val="9"/>
        </w:numPr>
        <w:ind w:left="720" w:hanging="720"/>
      </w:pPr>
      <w:r>
        <w:lastRenderedPageBreak/>
        <w:t>Comparability and Benchmarking</w:t>
      </w:r>
    </w:p>
    <w:p w:rsidR="001F1B70" w:rsidRDefault="00D67CA6">
      <w:r>
        <w:t>Comparison of EPD results between non-competitive products may be included in this section per the requirements in Part A, Section 9.</w:t>
      </w:r>
    </w:p>
    <w:p w:rsidR="001F1B70" w:rsidRDefault="00D67CA6">
      <w:pPr>
        <w:pStyle w:val="Heading2"/>
        <w:numPr>
          <w:ilvl w:val="1"/>
          <w:numId w:val="9"/>
        </w:numPr>
        <w:ind w:left="720" w:hanging="720"/>
      </w:pPr>
      <w:r>
        <w:t>Estimates and assumptions</w:t>
      </w:r>
    </w:p>
    <w:p w:rsidR="001F1B70" w:rsidRDefault="00D67CA6">
      <w:pPr>
        <w:ind w:right="47"/>
        <w:rPr>
          <w:color w:val="000000"/>
          <w:sz w:val="20"/>
          <w:szCs w:val="20"/>
        </w:rPr>
      </w:pPr>
      <w:r>
        <w:t>Key assumptions and estimates in this section should be included in the Life Cycle Assessment, provided they are not dealt with in Section ‎4.</w:t>
      </w:r>
    </w:p>
    <w:p w:rsidR="001F1B70" w:rsidRDefault="00D67CA6">
      <w:pPr>
        <w:pStyle w:val="Heading2"/>
        <w:numPr>
          <w:ilvl w:val="1"/>
          <w:numId w:val="9"/>
        </w:numPr>
        <w:ind w:hanging="612"/>
      </w:pPr>
      <w:r>
        <w:t>Units</w:t>
      </w:r>
    </w:p>
    <w:p w:rsidR="001F1B70" w:rsidRDefault="00D67CA6">
      <w:r>
        <w:t>SI units are required for all LCA results. Other units commonly used in a regional market may be optionally included in addition to the required SI units.</w:t>
      </w:r>
    </w:p>
    <w:p w:rsidR="001F1B70" w:rsidRDefault="00D67CA6">
      <w:pPr>
        <w:pStyle w:val="Heading1"/>
        <w:numPr>
          <w:ilvl w:val="0"/>
          <w:numId w:val="11"/>
        </w:numPr>
      </w:pPr>
      <w:bookmarkStart w:id="21" w:name="_1y810tw" w:colFirst="0" w:colLast="0"/>
      <w:bookmarkEnd w:id="21"/>
      <w:r>
        <w:t>Technical Information and Scenarios</w:t>
      </w:r>
    </w:p>
    <w:p w:rsidR="001F1B70" w:rsidRDefault="00D67CA6">
      <w:pPr>
        <w:ind w:left="-5" w:right="47"/>
      </w:pPr>
      <w:r>
        <w:t>The following information shall be reported for declared modules. Irrelevant or non-applicable module rows may be excluded in the EPD; additional information may also be listed if necessary.</w:t>
      </w:r>
    </w:p>
    <w:p w:rsidR="001F1B70" w:rsidRDefault="00D67CA6">
      <w:pPr>
        <w:spacing w:after="0" w:line="240" w:lineRule="auto"/>
      </w:pPr>
      <w:r>
        <w:t>The following technical information is a basis for the declared modules or may be used for developing specific scenarios in the context of a building assessment if modules are not declared (MND).</w:t>
      </w:r>
    </w:p>
    <w:p w:rsidR="001F1B70" w:rsidRDefault="001F1B70">
      <w:pPr>
        <w:spacing w:after="0" w:line="240" w:lineRule="auto"/>
      </w:pPr>
    </w:p>
    <w:p w:rsidR="001F1B70" w:rsidRDefault="00D67CA6">
      <w:pPr>
        <w:spacing w:after="0" w:line="240" w:lineRule="auto"/>
      </w:pPr>
      <w:r>
        <w:t>Results reported in Table 7 through Table 10 shall be reported over the entire building ESL.</w:t>
      </w:r>
    </w:p>
    <w:p w:rsidR="001F1B70" w:rsidRDefault="001F1B70">
      <w:pPr>
        <w:spacing w:after="0" w:line="240" w:lineRule="auto"/>
      </w:pPr>
    </w:p>
    <w:p w:rsidR="001F1B70" w:rsidRDefault="00D67CA6">
      <w:pPr>
        <w:keepNext/>
        <w:keepLines/>
        <w:numPr>
          <w:ilvl w:val="1"/>
          <w:numId w:val="14"/>
        </w:numPr>
        <w:pBdr>
          <w:top w:val="none" w:sz="0" w:space="0" w:color="000000"/>
          <w:left w:val="none" w:sz="0" w:space="0" w:color="000000"/>
          <w:bottom w:val="none" w:sz="0" w:space="0" w:color="000000"/>
          <w:right w:val="none" w:sz="0" w:space="0" w:color="000000"/>
          <w:between w:val="none" w:sz="0" w:space="0" w:color="000000"/>
        </w:pBdr>
        <w:spacing w:after="162" w:line="259" w:lineRule="auto"/>
        <w:ind w:left="425"/>
      </w:pPr>
      <w:r>
        <w:rPr>
          <w:rFonts w:ascii="Calibri" w:eastAsia="Calibri" w:hAnsi="Calibri" w:cs="Calibri"/>
          <w:b/>
          <w:smallCaps/>
          <w:color w:val="000000"/>
          <w:sz w:val="22"/>
          <w:szCs w:val="22"/>
        </w:rPr>
        <w:t>Manufacturing</w:t>
      </w:r>
    </w:p>
    <w:p w:rsidR="001F1B70" w:rsidRDefault="00D67CA6">
      <w:pPr>
        <w:ind w:left="-5" w:right="47"/>
      </w:pPr>
      <w:r>
        <w:t>The manufacturing process and locations shall be described and illustrated using a simple flow-chart. If the EPD applies to several locations, the production processes for all locations shall be described and reference to quality management systems may be included.</w:t>
      </w:r>
    </w:p>
    <w:p w:rsidR="001F1B70" w:rsidRDefault="00D67CA6">
      <w:pPr>
        <w:keepNext/>
        <w:keepLines/>
        <w:numPr>
          <w:ilvl w:val="1"/>
          <w:numId w:val="14"/>
        </w:numPr>
        <w:pBdr>
          <w:top w:val="none" w:sz="0" w:space="0" w:color="000000"/>
          <w:left w:val="none" w:sz="0" w:space="0" w:color="000000"/>
          <w:bottom w:val="none" w:sz="0" w:space="0" w:color="000000"/>
          <w:right w:val="none" w:sz="0" w:space="0" w:color="000000"/>
          <w:between w:val="none" w:sz="0" w:space="0" w:color="000000"/>
        </w:pBdr>
        <w:spacing w:after="162" w:line="259" w:lineRule="auto"/>
        <w:ind w:left="619" w:hanging="619"/>
      </w:pPr>
      <w:r>
        <w:rPr>
          <w:rFonts w:ascii="Calibri" w:eastAsia="Calibri" w:hAnsi="Calibri" w:cs="Calibri"/>
          <w:b/>
          <w:smallCaps/>
          <w:color w:val="000000"/>
          <w:sz w:val="22"/>
          <w:szCs w:val="22"/>
        </w:rPr>
        <w:t>Packaging</w:t>
      </w:r>
    </w:p>
    <w:p w:rsidR="001F1B70" w:rsidRDefault="00D67CA6">
      <w:pPr>
        <w:ind w:left="-5" w:right="47"/>
      </w:pPr>
      <w:r>
        <w:t>Information on product-specific packaging: type, composition and possible reuse of packaging materials (paper, strapping, pallets, foils, drums, etc.) shall be included in this Section. The EPD shall describe specific packaging scenario assumptions, including disposition pathways for each packaging material by reuse, recycling, or landfill disposal based on packaging type.</w:t>
      </w:r>
    </w:p>
    <w:p w:rsidR="001F1B70" w:rsidRDefault="00D67CA6">
      <w:pPr>
        <w:ind w:left="-5" w:right="47"/>
      </w:pPr>
      <w:r>
        <w:t>In the absence of specific primary data, the data assumptions from Part A, Section 2.8.5, Table 2 shall be used.</w:t>
      </w:r>
    </w:p>
    <w:p w:rsidR="001F1B70" w:rsidRDefault="00D67CA6">
      <w:pPr>
        <w:pBdr>
          <w:top w:val="nil"/>
          <w:left w:val="nil"/>
          <w:bottom w:val="nil"/>
          <w:right w:val="nil"/>
          <w:between w:val="nil"/>
        </w:pBdr>
        <w:spacing w:after="0" w:line="240" w:lineRule="auto"/>
        <w:rPr>
          <w:color w:val="000000"/>
        </w:rPr>
      </w:pPr>
      <w:r>
        <w:rPr>
          <w:color w:val="000000"/>
        </w:rPr>
        <w:t xml:space="preserve">In the case of reusable packaging designed to last for multiple reuse cycles, one reuse shall be assumed in the absence of primary manufacturer data. At the end of its reuse cycle, reusable packaging shall be assumed to go to landfill. </w:t>
      </w:r>
    </w:p>
    <w:p w:rsidR="001F1B70" w:rsidRDefault="001F1B70">
      <w:pPr>
        <w:pBdr>
          <w:top w:val="nil"/>
          <w:left w:val="nil"/>
          <w:bottom w:val="nil"/>
          <w:right w:val="nil"/>
          <w:between w:val="nil"/>
        </w:pBdr>
        <w:spacing w:after="0" w:line="240" w:lineRule="auto"/>
        <w:rPr>
          <w:color w:val="000000"/>
        </w:rPr>
      </w:pPr>
    </w:p>
    <w:p w:rsidR="001F1B70" w:rsidRDefault="00D67CA6">
      <w:pPr>
        <w:keepNext/>
        <w:keepLines/>
        <w:numPr>
          <w:ilvl w:val="1"/>
          <w:numId w:val="14"/>
        </w:numPr>
        <w:pBdr>
          <w:top w:val="none" w:sz="0" w:space="0" w:color="000000"/>
          <w:left w:val="none" w:sz="0" w:space="0" w:color="000000"/>
          <w:bottom w:val="none" w:sz="0" w:space="0" w:color="000000"/>
          <w:right w:val="none" w:sz="0" w:space="0" w:color="000000"/>
          <w:between w:val="none" w:sz="0" w:space="0" w:color="000000"/>
        </w:pBdr>
        <w:spacing w:after="162" w:line="259" w:lineRule="auto"/>
        <w:ind w:left="619" w:hanging="619"/>
      </w:pPr>
      <w:r>
        <w:rPr>
          <w:rFonts w:ascii="Calibri" w:eastAsia="Calibri" w:hAnsi="Calibri" w:cs="Calibri"/>
          <w:b/>
          <w:smallCaps/>
          <w:color w:val="000000"/>
          <w:sz w:val="22"/>
          <w:szCs w:val="22"/>
        </w:rPr>
        <w:t>Transportation</w:t>
      </w:r>
    </w:p>
    <w:p w:rsidR="001F1B70" w:rsidRDefault="00D67CA6">
      <w:r>
        <w:t xml:space="preserve">The following information should be provided to specify any transport after the manufacturing gate: type of transport, type of vehicle, distance, type and amount of energy carrier. </w:t>
      </w:r>
    </w:p>
    <w:p w:rsidR="001F1B70" w:rsidRDefault="00D67CA6">
      <w:pPr>
        <w:pStyle w:val="Subtitle"/>
      </w:pPr>
      <w:bookmarkStart w:id="22" w:name="_4i7ojhp" w:colFirst="0" w:colLast="0"/>
      <w:bookmarkEnd w:id="22"/>
      <w:r>
        <w:t>Table 5. Transport to the building site (A4)</w:t>
      </w:r>
    </w:p>
    <w:tbl>
      <w:tblPr>
        <w:tblStyle w:val="a6"/>
        <w:tblW w:w="5589" w:type="dxa"/>
        <w:tblInd w:w="-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429"/>
        <w:gridCol w:w="990"/>
        <w:gridCol w:w="1170"/>
      </w:tblGrid>
      <w:tr w:rsidR="001F1B70">
        <w:trPr>
          <w:trHeight w:val="180"/>
        </w:trPr>
        <w:tc>
          <w:tcPr>
            <w:tcW w:w="3429"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9" w:lineRule="auto"/>
            </w:pPr>
            <w:r>
              <w:rPr>
                <w:b/>
                <w:sz w:val="16"/>
                <w:szCs w:val="16"/>
              </w:rPr>
              <w:t>Name</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9" w:lineRule="auto"/>
              <w:ind w:left="137"/>
            </w:pPr>
            <w:r>
              <w:rPr>
                <w:b/>
                <w:sz w:val="16"/>
                <w:szCs w:val="16"/>
              </w:rPr>
              <w:t>Value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9" w:lineRule="auto"/>
              <w:ind w:left="36"/>
              <w:jc w:val="center"/>
            </w:pPr>
            <w:r>
              <w:rPr>
                <w:b/>
                <w:sz w:val="16"/>
                <w:szCs w:val="16"/>
              </w:rPr>
              <w:t>Unit</w:t>
            </w:r>
          </w:p>
        </w:tc>
      </w:tr>
      <w:tr w:rsidR="001F1B70">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Fuel type</w:t>
            </w:r>
          </w:p>
        </w:tc>
        <w:tc>
          <w:tcPr>
            <w:tcW w:w="99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1F1B70">
            <w:pPr>
              <w:ind w:left="36"/>
              <w:jc w:val="center"/>
              <w:rPr>
                <w:sz w:val="16"/>
                <w:szCs w:val="16"/>
              </w:rPr>
            </w:pPr>
          </w:p>
        </w:tc>
      </w:tr>
      <w:tr w:rsidR="001F1B70">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Liters of fuel</w:t>
            </w:r>
          </w:p>
        </w:tc>
        <w:tc>
          <w:tcPr>
            <w:tcW w:w="99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36"/>
              <w:jc w:val="center"/>
              <w:rPr>
                <w:sz w:val="16"/>
                <w:szCs w:val="16"/>
              </w:rPr>
            </w:pPr>
            <w:r>
              <w:rPr>
                <w:sz w:val="16"/>
                <w:szCs w:val="16"/>
              </w:rPr>
              <w:t>l/100km</w:t>
            </w:r>
          </w:p>
        </w:tc>
      </w:tr>
      <w:tr w:rsidR="001F1B70">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Vehicle type</w:t>
            </w:r>
          </w:p>
        </w:tc>
        <w:tc>
          <w:tcPr>
            <w:tcW w:w="99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1F1B70">
            <w:pPr>
              <w:ind w:left="231"/>
              <w:rPr>
                <w:sz w:val="16"/>
                <w:szCs w:val="16"/>
              </w:rPr>
            </w:pPr>
          </w:p>
        </w:tc>
      </w:tr>
      <w:tr w:rsidR="001F1B70">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Transport distance</w:t>
            </w:r>
          </w:p>
        </w:tc>
        <w:tc>
          <w:tcPr>
            <w:tcW w:w="99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km</w:t>
            </w:r>
          </w:p>
        </w:tc>
      </w:tr>
      <w:tr w:rsidR="001F1B70">
        <w:trPr>
          <w:trHeight w:val="420"/>
        </w:trPr>
        <w:tc>
          <w:tcPr>
            <w:tcW w:w="342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Capacity utilization (including empty runs, specify whether mass or volume based)</w:t>
            </w:r>
          </w:p>
        </w:tc>
        <w:tc>
          <w:tcPr>
            <w:tcW w:w="99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w:t>
            </w:r>
          </w:p>
        </w:tc>
      </w:tr>
      <w:tr w:rsidR="001F1B70">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 xml:space="preserve">Gross density of products transported </w:t>
            </w:r>
          </w:p>
        </w:tc>
        <w:tc>
          <w:tcPr>
            <w:tcW w:w="99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123"/>
              <w:jc w:val="center"/>
              <w:rPr>
                <w:sz w:val="16"/>
                <w:szCs w:val="16"/>
              </w:rPr>
            </w:pPr>
            <w:r>
              <w:rPr>
                <w:sz w:val="16"/>
                <w:szCs w:val="16"/>
              </w:rPr>
              <w:t>kg/m</w:t>
            </w:r>
            <w:r>
              <w:rPr>
                <w:sz w:val="16"/>
                <w:szCs w:val="16"/>
                <w:vertAlign w:val="superscript"/>
              </w:rPr>
              <w:t>3</w:t>
            </w:r>
          </w:p>
        </w:tc>
      </w:tr>
      <w:tr w:rsidR="001F1B70">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lastRenderedPageBreak/>
              <w:t>Weight of products transported (if gross density not reported)</w:t>
            </w:r>
          </w:p>
        </w:tc>
        <w:tc>
          <w:tcPr>
            <w:tcW w:w="99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kg</w:t>
            </w:r>
          </w:p>
        </w:tc>
      </w:tr>
      <w:tr w:rsidR="001F1B70">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Volume of products transported (if gross density not reported)</w:t>
            </w:r>
          </w:p>
        </w:tc>
        <w:tc>
          <w:tcPr>
            <w:tcW w:w="99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m</w:t>
            </w:r>
            <w:r>
              <w:rPr>
                <w:sz w:val="16"/>
                <w:szCs w:val="16"/>
                <w:vertAlign w:val="superscript"/>
              </w:rPr>
              <w:t>3</w:t>
            </w:r>
          </w:p>
        </w:tc>
      </w:tr>
      <w:tr w:rsidR="001F1B70">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rFonts w:ascii="Arial Unicode MS" w:eastAsia="Arial Unicode MS" w:hAnsi="Arial Unicode MS" w:cs="Arial Unicode MS"/>
                <w:sz w:val="16"/>
                <w:szCs w:val="16"/>
              </w:rPr>
              <w:t>Capacity utilization volume factor (factor: =1 or &lt;1 or ≥ 1 for compressed or nested packaging products)</w:t>
            </w:r>
          </w:p>
        </w:tc>
        <w:tc>
          <w:tcPr>
            <w:tcW w:w="99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36"/>
              <w:jc w:val="center"/>
              <w:rPr>
                <w:sz w:val="16"/>
                <w:szCs w:val="16"/>
              </w:rPr>
            </w:pPr>
            <w:r>
              <w:rPr>
                <w:sz w:val="16"/>
                <w:szCs w:val="16"/>
              </w:rPr>
              <w:t>-</w:t>
            </w:r>
          </w:p>
        </w:tc>
      </w:tr>
    </w:tbl>
    <w:p w:rsidR="001F1B70" w:rsidRDefault="00D67CA6">
      <w:pPr>
        <w:keepNext/>
        <w:keepLines/>
        <w:numPr>
          <w:ilvl w:val="1"/>
          <w:numId w:val="14"/>
        </w:numPr>
        <w:pBdr>
          <w:top w:val="none" w:sz="0" w:space="0" w:color="000000"/>
          <w:left w:val="none" w:sz="0" w:space="0" w:color="000000"/>
          <w:bottom w:val="none" w:sz="0" w:space="0" w:color="000000"/>
          <w:right w:val="none" w:sz="0" w:space="0" w:color="000000"/>
          <w:between w:val="none" w:sz="0" w:space="0" w:color="000000"/>
        </w:pBdr>
        <w:spacing w:before="240" w:after="162" w:line="259" w:lineRule="auto"/>
        <w:ind w:left="619" w:hanging="619"/>
      </w:pPr>
      <w:r>
        <w:rPr>
          <w:rFonts w:ascii="Calibri" w:eastAsia="Calibri" w:hAnsi="Calibri" w:cs="Calibri"/>
          <w:b/>
          <w:smallCaps/>
          <w:color w:val="000000"/>
          <w:sz w:val="22"/>
          <w:szCs w:val="22"/>
        </w:rPr>
        <w:t>Product Installation</w:t>
      </w:r>
    </w:p>
    <w:p w:rsidR="001F1B70" w:rsidRDefault="00D67CA6">
      <w:pPr>
        <w:ind w:left="-5" w:right="47"/>
      </w:pPr>
      <w:r>
        <w:t xml:space="preserve">A description of the type of processing, machinery, tools, dust extraction equipment, ancillary materials, etc. to be used during installation and measures for reducing noise shall be included. Information on industrial and environmental protection may be included in this section. </w:t>
      </w:r>
    </w:p>
    <w:p w:rsidR="001F1B70" w:rsidRDefault="00D67CA6">
      <w:pPr>
        <w:rPr>
          <w:sz w:val="20"/>
          <w:szCs w:val="20"/>
        </w:rPr>
      </w:pPr>
      <w:r>
        <w:t>Any waste treatment included within the system boundary of installation waste should be specified.</w:t>
      </w:r>
    </w:p>
    <w:p w:rsidR="001F1B70" w:rsidRDefault="00D67CA6">
      <w:pPr>
        <w:pStyle w:val="Subtitle"/>
      </w:pPr>
      <w:r>
        <w:t>Table 6. Installation into the building (A5)</w:t>
      </w:r>
    </w:p>
    <w:tbl>
      <w:tblPr>
        <w:tblStyle w:val="a7"/>
        <w:tblW w:w="5589" w:type="dxa"/>
        <w:tblInd w:w="-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429"/>
        <w:gridCol w:w="990"/>
        <w:gridCol w:w="1170"/>
      </w:tblGrid>
      <w:tr w:rsidR="001F1B70">
        <w:trPr>
          <w:trHeight w:val="180"/>
        </w:trPr>
        <w:tc>
          <w:tcPr>
            <w:tcW w:w="3429"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9" w:lineRule="auto"/>
            </w:pPr>
            <w:r>
              <w:rPr>
                <w:b/>
                <w:sz w:val="16"/>
                <w:szCs w:val="16"/>
              </w:rPr>
              <w:t>Name</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9" w:lineRule="auto"/>
              <w:ind w:left="137"/>
            </w:pPr>
            <w:r>
              <w:rPr>
                <w:b/>
                <w:sz w:val="16"/>
                <w:szCs w:val="16"/>
              </w:rPr>
              <w:t>Value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9" w:lineRule="auto"/>
              <w:ind w:left="112"/>
              <w:jc w:val="center"/>
            </w:pPr>
            <w:r>
              <w:rPr>
                <w:b/>
                <w:sz w:val="16"/>
                <w:szCs w:val="16"/>
              </w:rPr>
              <w:t>Unit</w:t>
            </w:r>
          </w:p>
        </w:tc>
      </w:tr>
      <w:tr w:rsidR="001F1B70">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Ancillary materials</w:t>
            </w:r>
          </w:p>
        </w:tc>
        <w:tc>
          <w:tcPr>
            <w:tcW w:w="990" w:type="dxa"/>
            <w:tcBorders>
              <w:top w:val="single" w:sz="4" w:space="0" w:color="000000"/>
              <w:left w:val="single" w:sz="4" w:space="0" w:color="000000"/>
              <w:bottom w:val="single" w:sz="4" w:space="0" w:color="000000"/>
              <w:right w:val="single" w:sz="4" w:space="0" w:color="000000"/>
            </w:tcBorders>
          </w:tcPr>
          <w:p w:rsidR="001F1B70" w:rsidRDefault="001F1B70">
            <w:pPr>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kg</w:t>
            </w:r>
          </w:p>
        </w:tc>
      </w:tr>
      <w:tr w:rsidR="001F1B70">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Net freshwater consumption specified by water source and fate (e.g., X m3 river water evaporated, X m3 city water disposed to sewer)</w:t>
            </w:r>
          </w:p>
        </w:tc>
        <w:tc>
          <w:tcPr>
            <w:tcW w:w="990" w:type="dxa"/>
            <w:tcBorders>
              <w:top w:val="single" w:sz="4" w:space="0" w:color="000000"/>
              <w:left w:val="single" w:sz="4" w:space="0" w:color="000000"/>
              <w:bottom w:val="single" w:sz="4" w:space="0" w:color="000000"/>
              <w:right w:val="single" w:sz="4" w:space="0" w:color="000000"/>
            </w:tcBorders>
          </w:tcPr>
          <w:p w:rsidR="001F1B70" w:rsidRDefault="001F1B70">
            <w:pPr>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m</w:t>
            </w:r>
            <w:r>
              <w:rPr>
                <w:sz w:val="16"/>
                <w:szCs w:val="16"/>
                <w:vertAlign w:val="superscript"/>
              </w:rPr>
              <w:t>3</w:t>
            </w:r>
          </w:p>
        </w:tc>
      </w:tr>
      <w:tr w:rsidR="001F1B70">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Other resources</w:t>
            </w:r>
          </w:p>
        </w:tc>
        <w:tc>
          <w:tcPr>
            <w:tcW w:w="990" w:type="dxa"/>
            <w:tcBorders>
              <w:top w:val="single" w:sz="4" w:space="0" w:color="000000"/>
              <w:left w:val="single" w:sz="4" w:space="0" w:color="000000"/>
              <w:bottom w:val="single" w:sz="4" w:space="0" w:color="000000"/>
              <w:right w:val="single" w:sz="4" w:space="0" w:color="000000"/>
            </w:tcBorders>
          </w:tcPr>
          <w:p w:rsidR="001F1B70" w:rsidRDefault="001F1B70">
            <w:pPr>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kg</w:t>
            </w:r>
          </w:p>
        </w:tc>
      </w:tr>
      <w:tr w:rsidR="001F1B70">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Electricity consumption</w:t>
            </w:r>
          </w:p>
        </w:tc>
        <w:tc>
          <w:tcPr>
            <w:tcW w:w="990" w:type="dxa"/>
            <w:tcBorders>
              <w:top w:val="single" w:sz="4" w:space="0" w:color="000000"/>
              <w:left w:val="single" w:sz="4" w:space="0" w:color="000000"/>
              <w:bottom w:val="single" w:sz="4" w:space="0" w:color="000000"/>
              <w:right w:val="single" w:sz="4" w:space="0" w:color="000000"/>
            </w:tcBorders>
          </w:tcPr>
          <w:p w:rsidR="001F1B70" w:rsidRDefault="001F1B70">
            <w:pPr>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kWh</w:t>
            </w:r>
          </w:p>
        </w:tc>
      </w:tr>
      <w:tr w:rsidR="001F1B70">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Other energy carriers</w:t>
            </w:r>
          </w:p>
        </w:tc>
        <w:tc>
          <w:tcPr>
            <w:tcW w:w="990" w:type="dxa"/>
            <w:tcBorders>
              <w:top w:val="single" w:sz="4" w:space="0" w:color="000000"/>
              <w:left w:val="single" w:sz="4" w:space="0" w:color="000000"/>
              <w:bottom w:val="single" w:sz="4" w:space="0" w:color="000000"/>
              <w:right w:val="single" w:sz="4" w:space="0" w:color="000000"/>
            </w:tcBorders>
          </w:tcPr>
          <w:p w:rsidR="001F1B70" w:rsidRDefault="001F1B70">
            <w:pPr>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MJ</w:t>
            </w:r>
          </w:p>
        </w:tc>
      </w:tr>
      <w:tr w:rsidR="001F1B70">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Product loss per functional unit</w:t>
            </w:r>
          </w:p>
        </w:tc>
        <w:tc>
          <w:tcPr>
            <w:tcW w:w="990" w:type="dxa"/>
            <w:tcBorders>
              <w:top w:val="single" w:sz="4" w:space="0" w:color="000000"/>
              <w:left w:val="single" w:sz="4" w:space="0" w:color="000000"/>
              <w:bottom w:val="single" w:sz="4" w:space="0" w:color="000000"/>
              <w:right w:val="single" w:sz="4" w:space="0" w:color="000000"/>
            </w:tcBorders>
          </w:tcPr>
          <w:p w:rsidR="001F1B70" w:rsidRDefault="001F1B70">
            <w:pPr>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kg</w:t>
            </w:r>
          </w:p>
        </w:tc>
      </w:tr>
      <w:tr w:rsidR="001F1B70">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Waste materials at the construction site before waste processing, generated by product installation</w:t>
            </w:r>
          </w:p>
        </w:tc>
        <w:tc>
          <w:tcPr>
            <w:tcW w:w="990" w:type="dxa"/>
            <w:tcBorders>
              <w:top w:val="single" w:sz="4" w:space="0" w:color="000000"/>
              <w:left w:val="single" w:sz="4" w:space="0" w:color="000000"/>
              <w:bottom w:val="single" w:sz="4" w:space="0" w:color="000000"/>
              <w:right w:val="single" w:sz="4" w:space="0" w:color="000000"/>
            </w:tcBorders>
          </w:tcPr>
          <w:p w:rsidR="001F1B70" w:rsidRDefault="001F1B70">
            <w:pPr>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kg</w:t>
            </w:r>
          </w:p>
        </w:tc>
      </w:tr>
      <w:tr w:rsidR="001F1B70">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 xml:space="preserve">Output materials resulting from on-site waste </w:t>
            </w:r>
            <w:r w:rsidR="00811E40">
              <w:rPr>
                <w:sz w:val="16"/>
                <w:szCs w:val="16"/>
              </w:rPr>
              <w:t>processing (</w:t>
            </w:r>
            <w:r>
              <w:rPr>
                <w:sz w:val="16"/>
                <w:szCs w:val="16"/>
              </w:rPr>
              <w:t>specified by route; e.g. for recycling, energy recovery and/or disposal)</w:t>
            </w:r>
          </w:p>
        </w:tc>
        <w:tc>
          <w:tcPr>
            <w:tcW w:w="990" w:type="dxa"/>
            <w:tcBorders>
              <w:top w:val="single" w:sz="4" w:space="0" w:color="000000"/>
              <w:left w:val="single" w:sz="4" w:space="0" w:color="000000"/>
              <w:bottom w:val="single" w:sz="4" w:space="0" w:color="000000"/>
              <w:right w:val="single" w:sz="4" w:space="0" w:color="000000"/>
            </w:tcBorders>
          </w:tcPr>
          <w:p w:rsidR="001F1B70" w:rsidRDefault="001F1B70">
            <w:pPr>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kg</w:t>
            </w:r>
          </w:p>
        </w:tc>
      </w:tr>
      <w:tr w:rsidR="001F1B70">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color w:val="000000"/>
                <w:sz w:val="16"/>
                <w:szCs w:val="16"/>
              </w:rPr>
              <w:t>Mass of packaging waste specified by type</w:t>
            </w:r>
          </w:p>
        </w:tc>
        <w:tc>
          <w:tcPr>
            <w:tcW w:w="990" w:type="dxa"/>
            <w:tcBorders>
              <w:top w:val="single" w:sz="4" w:space="0" w:color="000000"/>
              <w:left w:val="single" w:sz="4" w:space="0" w:color="000000"/>
              <w:bottom w:val="single" w:sz="4" w:space="0" w:color="000000"/>
              <w:right w:val="single" w:sz="4" w:space="0" w:color="000000"/>
            </w:tcBorders>
          </w:tcPr>
          <w:p w:rsidR="001F1B70" w:rsidRDefault="001F1B70">
            <w:pPr>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kg</w:t>
            </w:r>
          </w:p>
        </w:tc>
      </w:tr>
      <w:tr w:rsidR="001F1B70">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Biogenic carbon contained in packaging</w:t>
            </w:r>
          </w:p>
        </w:tc>
        <w:tc>
          <w:tcPr>
            <w:tcW w:w="990" w:type="dxa"/>
            <w:tcBorders>
              <w:top w:val="single" w:sz="4" w:space="0" w:color="000000"/>
              <w:left w:val="single" w:sz="4" w:space="0" w:color="000000"/>
              <w:bottom w:val="single" w:sz="4" w:space="0" w:color="000000"/>
              <w:right w:val="single" w:sz="4" w:space="0" w:color="000000"/>
            </w:tcBorders>
          </w:tcPr>
          <w:p w:rsidR="001F1B70" w:rsidRDefault="001F1B70">
            <w:pPr>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113"/>
              <w:jc w:val="center"/>
              <w:rPr>
                <w:sz w:val="16"/>
                <w:szCs w:val="16"/>
              </w:rPr>
            </w:pPr>
            <w:r>
              <w:rPr>
                <w:sz w:val="16"/>
                <w:szCs w:val="16"/>
              </w:rPr>
              <w:t>kg CO</w:t>
            </w:r>
            <w:r>
              <w:rPr>
                <w:sz w:val="16"/>
                <w:szCs w:val="16"/>
                <w:vertAlign w:val="subscript"/>
              </w:rPr>
              <w:t>2</w:t>
            </w:r>
          </w:p>
        </w:tc>
      </w:tr>
      <w:tr w:rsidR="001F1B70">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Direct emissions to ambient air, soil and water</w:t>
            </w:r>
          </w:p>
        </w:tc>
        <w:tc>
          <w:tcPr>
            <w:tcW w:w="990" w:type="dxa"/>
            <w:tcBorders>
              <w:top w:val="single" w:sz="4" w:space="0" w:color="000000"/>
              <w:left w:val="single" w:sz="4" w:space="0" w:color="000000"/>
              <w:bottom w:val="single" w:sz="4" w:space="0" w:color="000000"/>
              <w:right w:val="single" w:sz="4" w:space="0" w:color="000000"/>
            </w:tcBorders>
          </w:tcPr>
          <w:p w:rsidR="001F1B70" w:rsidRDefault="001F1B70">
            <w:pPr>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113"/>
              <w:jc w:val="center"/>
              <w:rPr>
                <w:sz w:val="16"/>
                <w:szCs w:val="16"/>
              </w:rPr>
            </w:pPr>
            <w:r>
              <w:rPr>
                <w:sz w:val="16"/>
                <w:szCs w:val="16"/>
              </w:rPr>
              <w:t>kg</w:t>
            </w:r>
          </w:p>
        </w:tc>
      </w:tr>
      <w:tr w:rsidR="001F1B70">
        <w:trPr>
          <w:trHeight w:val="200"/>
        </w:trPr>
        <w:tc>
          <w:tcPr>
            <w:tcW w:w="342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VOC emissions</w:t>
            </w:r>
          </w:p>
        </w:tc>
        <w:tc>
          <w:tcPr>
            <w:tcW w:w="99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113"/>
              <w:jc w:val="center"/>
              <w:rPr>
                <w:sz w:val="16"/>
                <w:szCs w:val="16"/>
              </w:rPr>
            </w:pPr>
            <w:r>
              <w:rPr>
                <w:sz w:val="16"/>
                <w:szCs w:val="16"/>
              </w:rPr>
              <w:t>μg/m3</w:t>
            </w:r>
          </w:p>
        </w:tc>
      </w:tr>
    </w:tbl>
    <w:p w:rsidR="001F1B70" w:rsidRDefault="00D67CA6">
      <w:pPr>
        <w:spacing w:before="240"/>
      </w:pPr>
      <w:r>
        <w:t xml:space="preserve">Industry average scrap rates are currently not available, and industry has committed to develop values representative of practice in the field. </w:t>
      </w:r>
    </w:p>
    <w:p w:rsidR="001F1B70" w:rsidRDefault="00D67CA6">
      <w:pPr>
        <w:spacing w:before="240"/>
      </w:pPr>
      <w:r>
        <w:t xml:space="preserve">The VOC emissions shall be determined in accordance with “Standard Method for the Testing and Evaluation of Volatile Organic Chemical Emissions from Indoor Sources using Environmental Chambers- version 1.2” CA Specification 01350. </w:t>
      </w:r>
    </w:p>
    <w:p w:rsidR="001F1B70" w:rsidRDefault="00D67CA6">
      <w:pPr>
        <w:pStyle w:val="Subtitle"/>
      </w:pPr>
      <w:bookmarkStart w:id="23" w:name="_2xcytpi" w:colFirst="0" w:colLast="0"/>
      <w:bookmarkEnd w:id="23"/>
      <w:r>
        <w:t>Table 7. Reference Service Life</w:t>
      </w:r>
    </w:p>
    <w:p w:rsidR="001F1B70" w:rsidRDefault="00D67CA6">
      <w:pPr>
        <w:keepNext/>
        <w:keepLines/>
        <w:pBdr>
          <w:top w:val="nil"/>
          <w:left w:val="nil"/>
          <w:bottom w:val="nil"/>
          <w:right w:val="nil"/>
          <w:between w:val="nil"/>
        </w:pBdr>
        <w:rPr>
          <w:rFonts w:ascii="Calibri" w:eastAsia="Calibri" w:hAnsi="Calibri" w:cs="Calibri"/>
          <w:b/>
          <w:color w:val="000000"/>
          <w:sz w:val="22"/>
          <w:szCs w:val="22"/>
        </w:rPr>
      </w:pPr>
      <w:r>
        <w:rPr>
          <w:color w:val="000000"/>
        </w:rPr>
        <w:t xml:space="preserve">A product’s RSL depends on the product properties and reference in-use conditions. These conditions shall be declared with </w:t>
      </w:r>
      <w:r w:rsidR="00811E40">
        <w:rPr>
          <w:color w:val="000000"/>
        </w:rPr>
        <w:t>an</w:t>
      </w:r>
      <w:r>
        <w:rPr>
          <w:color w:val="000000"/>
        </w:rPr>
        <w:t xml:space="preserve"> RSL and it shall be stated that the RSL only applies to these reference in-use conditions. The reference in-use conditions for achieving the declared technical and functional performance of the product and the declared RSL shall include the following, where relevant:</w:t>
      </w:r>
    </w:p>
    <w:tbl>
      <w:tblPr>
        <w:tblStyle w:val="a8"/>
        <w:tblW w:w="684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4"/>
        <w:gridCol w:w="1260"/>
        <w:gridCol w:w="1080"/>
      </w:tblGrid>
      <w:tr w:rsidR="001F1B70">
        <w:tc>
          <w:tcPr>
            <w:tcW w:w="4504"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1F1B70" w:rsidRDefault="00D67CA6">
            <w:pPr>
              <w:spacing w:line="276" w:lineRule="auto"/>
            </w:pPr>
            <w:r>
              <w:rPr>
                <w:b/>
                <w:sz w:val="16"/>
                <w:szCs w:val="16"/>
              </w:rPr>
              <w:t>Name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1F1B70" w:rsidRDefault="00D67CA6">
            <w:pPr>
              <w:spacing w:line="276" w:lineRule="auto"/>
              <w:jc w:val="center"/>
              <w:rPr>
                <w:b/>
                <w:sz w:val="16"/>
                <w:szCs w:val="16"/>
              </w:rPr>
            </w:pPr>
            <w:r>
              <w:rPr>
                <w:b/>
                <w:sz w:val="16"/>
                <w:szCs w:val="16"/>
              </w:rPr>
              <w:t>Value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1F1B70" w:rsidRDefault="00D67CA6">
            <w:pPr>
              <w:spacing w:line="276" w:lineRule="auto"/>
              <w:jc w:val="center"/>
              <w:rPr>
                <w:b/>
                <w:sz w:val="16"/>
                <w:szCs w:val="16"/>
              </w:rPr>
            </w:pPr>
            <w:r>
              <w:rPr>
                <w:b/>
                <w:sz w:val="16"/>
                <w:szCs w:val="16"/>
              </w:rPr>
              <w:t>Unit</w:t>
            </w:r>
          </w:p>
        </w:tc>
      </w:tr>
      <w:tr w:rsidR="001F1B70">
        <w:trPr>
          <w:trHeight w:val="220"/>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D67CA6">
            <w:pPr>
              <w:rPr>
                <w:sz w:val="16"/>
                <w:szCs w:val="16"/>
              </w:rPr>
            </w:pPr>
            <w:r>
              <w:rPr>
                <w:sz w:val="16"/>
                <w:szCs w:val="16"/>
              </w:rPr>
              <w:t>RSL</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1F1B70">
            <w:pPr>
              <w:jc w:val="center"/>
              <w:rPr>
                <w:b/>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D67CA6">
            <w:pPr>
              <w:jc w:val="center"/>
              <w:rPr>
                <w:sz w:val="16"/>
                <w:szCs w:val="16"/>
              </w:rPr>
            </w:pPr>
            <w:r>
              <w:rPr>
                <w:sz w:val="16"/>
                <w:szCs w:val="16"/>
              </w:rPr>
              <w:t>Years</w:t>
            </w:r>
          </w:p>
        </w:tc>
      </w:tr>
      <w:tr w:rsidR="001F1B70">
        <w:trPr>
          <w:trHeight w:val="220"/>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D67CA6">
            <w:pPr>
              <w:rPr>
                <w:sz w:val="16"/>
                <w:szCs w:val="16"/>
              </w:rPr>
            </w:pPr>
            <w:r>
              <w:rPr>
                <w:sz w:val="16"/>
                <w:szCs w:val="16"/>
              </w:rPr>
              <w:lastRenderedPageBreak/>
              <w:t>Declared product properties (at the gate) and finishes, etc.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1F1B70">
            <w:pPr>
              <w:jc w:val="center"/>
              <w:rPr>
                <w:b/>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D67CA6">
            <w:pPr>
              <w:jc w:val="center"/>
              <w:rPr>
                <w:sz w:val="16"/>
                <w:szCs w:val="16"/>
              </w:rPr>
            </w:pPr>
            <w:r>
              <w:rPr>
                <w:sz w:val="16"/>
                <w:szCs w:val="16"/>
              </w:rPr>
              <w:t>Units as appropriate</w:t>
            </w:r>
          </w:p>
        </w:tc>
      </w:tr>
      <w:tr w:rsidR="001F1B70">
        <w:trPr>
          <w:trHeight w:val="220"/>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D67CA6">
            <w:pPr>
              <w:rPr>
                <w:sz w:val="16"/>
                <w:szCs w:val="16"/>
              </w:rPr>
            </w:pPr>
            <w:r>
              <w:rPr>
                <w:sz w:val="16"/>
                <w:szCs w:val="16"/>
              </w:rPr>
              <w:t>Design application parameters (if instructed by the manufacturer), including references to the appropriate practices and application codes)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1F1B70">
            <w:pPr>
              <w:jc w:val="center"/>
              <w:rPr>
                <w:b/>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D67CA6">
            <w:pPr>
              <w:jc w:val="center"/>
              <w:rPr>
                <w:sz w:val="16"/>
                <w:szCs w:val="16"/>
              </w:rPr>
            </w:pPr>
            <w:r>
              <w:rPr>
                <w:sz w:val="16"/>
                <w:szCs w:val="16"/>
              </w:rPr>
              <w:t>Units as appropriate</w:t>
            </w:r>
          </w:p>
        </w:tc>
      </w:tr>
      <w:tr w:rsidR="001F1B70">
        <w:trPr>
          <w:trHeight w:val="220"/>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D67CA6">
            <w:pPr>
              <w:rPr>
                <w:sz w:val="16"/>
                <w:szCs w:val="16"/>
              </w:rPr>
            </w:pPr>
            <w:r>
              <w:rPr>
                <w:sz w:val="16"/>
                <w:szCs w:val="16"/>
              </w:rPr>
              <w:t>An assumed quality of work, when installed in accordance with the manufacturer’s instructions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1F1B70">
            <w:pPr>
              <w:jc w:val="center"/>
              <w:rPr>
                <w:b/>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D67CA6">
            <w:pPr>
              <w:jc w:val="center"/>
              <w:rPr>
                <w:sz w:val="16"/>
                <w:szCs w:val="16"/>
              </w:rPr>
            </w:pPr>
            <w:r>
              <w:rPr>
                <w:sz w:val="16"/>
                <w:szCs w:val="16"/>
              </w:rPr>
              <w:t>Units as appropriate</w:t>
            </w:r>
          </w:p>
        </w:tc>
      </w:tr>
      <w:tr w:rsidR="001F1B70">
        <w:trPr>
          <w:trHeight w:val="220"/>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D67CA6">
            <w:pPr>
              <w:rPr>
                <w:sz w:val="16"/>
                <w:szCs w:val="16"/>
              </w:rPr>
            </w:pPr>
            <w:r>
              <w:rPr>
                <w:sz w:val="16"/>
                <w:szCs w:val="16"/>
              </w:rPr>
              <w:t>Outdoor environment, (if relevant for outdoor applications), e.g. weathering, pollutants, UV and wind exposure, building orientation, shading, temperature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1F1B70">
            <w:pPr>
              <w:jc w:val="center"/>
              <w:rPr>
                <w:b/>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D67CA6">
            <w:pPr>
              <w:jc w:val="center"/>
              <w:rPr>
                <w:sz w:val="16"/>
                <w:szCs w:val="16"/>
              </w:rPr>
            </w:pPr>
            <w:r>
              <w:rPr>
                <w:sz w:val="16"/>
                <w:szCs w:val="16"/>
              </w:rPr>
              <w:t>Units as appropriate</w:t>
            </w:r>
          </w:p>
        </w:tc>
      </w:tr>
      <w:tr w:rsidR="001F1B70">
        <w:trPr>
          <w:trHeight w:val="220"/>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D67CA6">
            <w:pPr>
              <w:rPr>
                <w:sz w:val="16"/>
                <w:szCs w:val="16"/>
              </w:rPr>
            </w:pPr>
            <w:r>
              <w:rPr>
                <w:sz w:val="16"/>
                <w:szCs w:val="16"/>
              </w:rPr>
              <w:t>Indoor environment, (if relevant for indoor applications), e.g. temperature, moisture, chemical exposure)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1F1B70">
            <w:pPr>
              <w:jc w:val="center"/>
              <w:rPr>
                <w:b/>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D67CA6">
            <w:pPr>
              <w:jc w:val="center"/>
              <w:rPr>
                <w:sz w:val="16"/>
                <w:szCs w:val="16"/>
              </w:rPr>
            </w:pPr>
            <w:r>
              <w:rPr>
                <w:sz w:val="16"/>
                <w:szCs w:val="16"/>
              </w:rPr>
              <w:t>Units as appropriate</w:t>
            </w:r>
          </w:p>
        </w:tc>
      </w:tr>
      <w:tr w:rsidR="001F1B70">
        <w:trPr>
          <w:trHeight w:val="220"/>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D67CA6">
            <w:pPr>
              <w:rPr>
                <w:sz w:val="16"/>
                <w:szCs w:val="16"/>
              </w:rPr>
            </w:pPr>
            <w:r>
              <w:rPr>
                <w:sz w:val="16"/>
                <w:szCs w:val="16"/>
              </w:rPr>
              <w:t>Use conditions, e.g. frequency of use, mechanical exposure.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1F1B70">
            <w:pPr>
              <w:jc w:val="center"/>
              <w:rPr>
                <w:b/>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D67CA6">
            <w:pPr>
              <w:jc w:val="center"/>
              <w:rPr>
                <w:sz w:val="16"/>
                <w:szCs w:val="16"/>
              </w:rPr>
            </w:pPr>
            <w:r>
              <w:rPr>
                <w:sz w:val="16"/>
                <w:szCs w:val="16"/>
              </w:rPr>
              <w:t>Units as appropriate</w:t>
            </w:r>
          </w:p>
        </w:tc>
      </w:tr>
      <w:tr w:rsidR="001F1B70">
        <w:trPr>
          <w:trHeight w:val="220"/>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D67CA6">
            <w:pPr>
              <w:rPr>
                <w:sz w:val="16"/>
                <w:szCs w:val="16"/>
              </w:rPr>
            </w:pPr>
            <w:r>
              <w:rPr>
                <w:sz w:val="16"/>
                <w:szCs w:val="16"/>
              </w:rPr>
              <w:t>Maintenance, e.g. required frequency, type and quality of replacement components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1F1B70">
            <w:pPr>
              <w:jc w:val="center"/>
              <w:rPr>
                <w:b/>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1B70" w:rsidRDefault="00D67CA6">
            <w:pPr>
              <w:jc w:val="center"/>
              <w:rPr>
                <w:sz w:val="16"/>
                <w:szCs w:val="16"/>
              </w:rPr>
            </w:pPr>
            <w:r>
              <w:rPr>
                <w:sz w:val="16"/>
                <w:szCs w:val="16"/>
              </w:rPr>
              <w:t>Units as appropriate</w:t>
            </w:r>
          </w:p>
        </w:tc>
      </w:tr>
    </w:tbl>
    <w:p w:rsidR="001F1B70" w:rsidRDefault="00D67CA6">
      <w:pPr>
        <w:keepNext/>
        <w:keepLines/>
        <w:numPr>
          <w:ilvl w:val="1"/>
          <w:numId w:val="14"/>
        </w:numPr>
        <w:pBdr>
          <w:top w:val="none" w:sz="0" w:space="0" w:color="000000"/>
          <w:left w:val="none" w:sz="0" w:space="0" w:color="000000"/>
          <w:bottom w:val="none" w:sz="0" w:space="0" w:color="000000"/>
          <w:right w:val="none" w:sz="0" w:space="0" w:color="000000"/>
          <w:between w:val="none" w:sz="0" w:space="0" w:color="000000"/>
        </w:pBdr>
        <w:spacing w:before="240" w:after="162" w:line="259" w:lineRule="auto"/>
        <w:ind w:left="619" w:hanging="619"/>
      </w:pPr>
      <w:r>
        <w:rPr>
          <w:rFonts w:ascii="Calibri" w:eastAsia="Calibri" w:hAnsi="Calibri" w:cs="Calibri"/>
          <w:b/>
          <w:smallCaps/>
          <w:color w:val="000000"/>
          <w:sz w:val="22"/>
          <w:szCs w:val="22"/>
        </w:rPr>
        <w:t xml:space="preserve">Use </w:t>
      </w:r>
    </w:p>
    <w:p w:rsidR="001F1B70" w:rsidRDefault="00D67CA6">
      <w:pPr>
        <w:spacing w:after="0"/>
        <w:ind w:right="47"/>
        <w:rPr>
          <w:rFonts w:ascii="Cambria" w:eastAsia="Cambria" w:hAnsi="Cambria" w:cs="Cambria"/>
        </w:rPr>
      </w:pPr>
      <w:r>
        <w:t>Any relevant information may be provided in this section regarding specific product use conditions and/or limitations relevant to product use, including a description of any maintenance, repair, replacement or refurbishment processes and/or a reference to where a description can be found. Refer to Section ‎7.2 for optional reporting of energy savings during use. There is assumed to be no energy, material or water inputs required during the use phase (module B1) of the commercial steel door and/or steel frame. The door and frame impact on building energy use (e.g. HVAC) is covered in Module B6.</w:t>
      </w:r>
    </w:p>
    <w:p w:rsidR="001F1B70" w:rsidRDefault="001F1B70">
      <w:pPr>
        <w:spacing w:after="0"/>
        <w:ind w:right="47"/>
      </w:pPr>
    </w:p>
    <w:p w:rsidR="001F1B70" w:rsidRDefault="00D67CA6">
      <w:pPr>
        <w:widowControl w:val="0"/>
        <w:pBdr>
          <w:top w:val="nil"/>
          <w:left w:val="nil"/>
          <w:bottom w:val="nil"/>
          <w:right w:val="nil"/>
          <w:between w:val="nil"/>
        </w:pBdr>
        <w:spacing w:after="120" w:line="240" w:lineRule="auto"/>
        <w:rPr>
          <w:color w:val="000000"/>
          <w:sz w:val="20"/>
          <w:szCs w:val="20"/>
        </w:rPr>
      </w:pPr>
      <w:r>
        <w:t>Information on maintenance shall be provided based on the manufacturer’s recommendations. In the absence of primary data, assumptions (i.e. cleaning) shall be documented and reported in the EPD.</w:t>
      </w:r>
    </w:p>
    <w:p w:rsidR="001F1B70" w:rsidRDefault="00D67CA6">
      <w:pPr>
        <w:ind w:left="-5" w:right="47"/>
        <w:rPr>
          <w:b/>
        </w:rPr>
      </w:pPr>
      <w:bookmarkStart w:id="24" w:name="_1ci93xb" w:colFirst="0" w:colLast="0"/>
      <w:bookmarkEnd w:id="24"/>
      <w:r>
        <w:br/>
      </w:r>
      <w:r>
        <w:rPr>
          <w:b/>
          <w:smallCaps/>
        </w:rPr>
        <w:t>Table 8. Maintenance (B2)</w:t>
      </w:r>
    </w:p>
    <w:tbl>
      <w:tblPr>
        <w:tblStyle w:val="a9"/>
        <w:tblW w:w="6849" w:type="dxa"/>
        <w:tblInd w:w="-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509"/>
        <w:gridCol w:w="1080"/>
        <w:gridCol w:w="1260"/>
      </w:tblGrid>
      <w:tr w:rsidR="001F1B70">
        <w:trPr>
          <w:trHeight w:val="180"/>
        </w:trPr>
        <w:tc>
          <w:tcPr>
            <w:tcW w:w="4509"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9" w:lineRule="auto"/>
            </w:pPr>
            <w:r>
              <w:rPr>
                <w:b/>
                <w:sz w:val="16"/>
                <w:szCs w:val="16"/>
              </w:rPr>
              <w:t>Name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9" w:lineRule="auto"/>
              <w:ind w:left="137"/>
            </w:pPr>
            <w:r>
              <w:rPr>
                <w:b/>
                <w:sz w:val="16"/>
                <w:szCs w:val="16"/>
              </w:rPr>
              <w:t>Value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9" w:lineRule="auto"/>
              <w:ind w:left="6"/>
              <w:jc w:val="center"/>
            </w:pPr>
            <w:r>
              <w:rPr>
                <w:b/>
                <w:sz w:val="16"/>
                <w:szCs w:val="16"/>
              </w:rPr>
              <w:t>Unit</w:t>
            </w:r>
          </w:p>
        </w:tc>
      </w:tr>
      <w:tr w:rsidR="001F1B70">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Maintenance process information (cite source in report)</w:t>
            </w:r>
          </w:p>
        </w:tc>
        <w:tc>
          <w:tcPr>
            <w:tcW w:w="108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6"/>
              <w:jc w:val="center"/>
              <w:rPr>
                <w:sz w:val="16"/>
                <w:szCs w:val="16"/>
              </w:rPr>
            </w:pPr>
            <w:r>
              <w:rPr>
                <w:sz w:val="16"/>
                <w:szCs w:val="16"/>
              </w:rPr>
              <w:t>-</w:t>
            </w:r>
          </w:p>
        </w:tc>
      </w:tr>
      <w:tr w:rsidR="001F1B70">
        <w:trPr>
          <w:trHeight w:val="260"/>
        </w:trPr>
        <w:tc>
          <w:tcPr>
            <w:tcW w:w="450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Maintenance cycle</w:t>
            </w:r>
          </w:p>
        </w:tc>
        <w:tc>
          <w:tcPr>
            <w:tcW w:w="108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Cycles/ RSL</w:t>
            </w:r>
          </w:p>
        </w:tc>
      </w:tr>
      <w:tr w:rsidR="001F1B70">
        <w:trPr>
          <w:trHeight w:val="240"/>
        </w:trPr>
        <w:tc>
          <w:tcPr>
            <w:tcW w:w="450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Maintenance cycle</w:t>
            </w:r>
          </w:p>
        </w:tc>
        <w:tc>
          <w:tcPr>
            <w:tcW w:w="108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Cycles/ ESL</w:t>
            </w:r>
          </w:p>
        </w:tc>
      </w:tr>
      <w:tr w:rsidR="001F1B70">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Net freshwater consumption specified by water source and fate (e.g., X m3 river water evaporated, X m3 city water disposed to sewer)</w:t>
            </w:r>
          </w:p>
        </w:tc>
        <w:tc>
          <w:tcPr>
            <w:tcW w:w="108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6"/>
              <w:jc w:val="center"/>
              <w:rPr>
                <w:sz w:val="16"/>
                <w:szCs w:val="16"/>
              </w:rPr>
            </w:pPr>
            <w:r>
              <w:rPr>
                <w:sz w:val="16"/>
                <w:szCs w:val="16"/>
              </w:rPr>
              <w:t>m</w:t>
            </w:r>
            <w:r>
              <w:rPr>
                <w:sz w:val="16"/>
                <w:szCs w:val="16"/>
                <w:vertAlign w:val="superscript"/>
              </w:rPr>
              <w:t>3</w:t>
            </w:r>
          </w:p>
        </w:tc>
      </w:tr>
      <w:tr w:rsidR="001F1B70">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Ancillary materials specified by type (e.g. cleaning agent)</w:t>
            </w:r>
          </w:p>
        </w:tc>
        <w:tc>
          <w:tcPr>
            <w:tcW w:w="108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6"/>
              <w:jc w:val="center"/>
              <w:rPr>
                <w:sz w:val="16"/>
                <w:szCs w:val="16"/>
              </w:rPr>
            </w:pPr>
            <w:r>
              <w:rPr>
                <w:sz w:val="16"/>
                <w:szCs w:val="16"/>
              </w:rPr>
              <w:t>kg</w:t>
            </w:r>
          </w:p>
        </w:tc>
      </w:tr>
      <w:tr w:rsidR="001F1B70">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Other resources</w:t>
            </w:r>
          </w:p>
        </w:tc>
        <w:tc>
          <w:tcPr>
            <w:tcW w:w="108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6"/>
              <w:jc w:val="center"/>
              <w:rPr>
                <w:sz w:val="16"/>
                <w:szCs w:val="16"/>
              </w:rPr>
            </w:pPr>
            <w:r>
              <w:rPr>
                <w:sz w:val="16"/>
                <w:szCs w:val="16"/>
              </w:rPr>
              <w:t>kg</w:t>
            </w:r>
          </w:p>
        </w:tc>
      </w:tr>
      <w:tr w:rsidR="001F1B70">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Energy input, specified by activity, type and amount</w:t>
            </w:r>
          </w:p>
        </w:tc>
        <w:tc>
          <w:tcPr>
            <w:tcW w:w="108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10" w:hanging="10"/>
              <w:jc w:val="center"/>
              <w:rPr>
                <w:sz w:val="16"/>
                <w:szCs w:val="16"/>
              </w:rPr>
            </w:pPr>
            <w:r>
              <w:rPr>
                <w:sz w:val="16"/>
                <w:szCs w:val="16"/>
              </w:rPr>
              <w:t>kWh</w:t>
            </w:r>
          </w:p>
        </w:tc>
      </w:tr>
      <w:tr w:rsidR="001F1B70">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Other energy carriers specified by type</w:t>
            </w:r>
          </w:p>
        </w:tc>
        <w:tc>
          <w:tcPr>
            <w:tcW w:w="108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kWh</w:t>
            </w:r>
          </w:p>
        </w:tc>
      </w:tr>
      <w:tr w:rsidR="001F1B70">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Power output of equipment</w:t>
            </w:r>
          </w:p>
        </w:tc>
        <w:tc>
          <w:tcPr>
            <w:tcW w:w="108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kW</w:t>
            </w:r>
          </w:p>
        </w:tc>
      </w:tr>
      <w:tr w:rsidR="001F1B70">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Waste materials from maintenance (specify materials)</w:t>
            </w:r>
          </w:p>
        </w:tc>
        <w:tc>
          <w:tcPr>
            <w:tcW w:w="108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6"/>
              <w:jc w:val="center"/>
              <w:rPr>
                <w:sz w:val="16"/>
                <w:szCs w:val="16"/>
              </w:rPr>
            </w:pPr>
            <w:r>
              <w:rPr>
                <w:sz w:val="16"/>
                <w:szCs w:val="16"/>
              </w:rPr>
              <w:t>kg</w:t>
            </w:r>
          </w:p>
        </w:tc>
      </w:tr>
      <w:tr w:rsidR="001F1B70">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Direct emissions to ambient air, soil and water</w:t>
            </w:r>
          </w:p>
        </w:tc>
        <w:tc>
          <w:tcPr>
            <w:tcW w:w="108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6"/>
              <w:jc w:val="center"/>
              <w:rPr>
                <w:sz w:val="16"/>
                <w:szCs w:val="16"/>
              </w:rPr>
            </w:pPr>
            <w:r>
              <w:rPr>
                <w:sz w:val="16"/>
                <w:szCs w:val="16"/>
              </w:rPr>
              <w:t>kg</w:t>
            </w:r>
          </w:p>
        </w:tc>
      </w:tr>
      <w:tr w:rsidR="001F1B70">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Further assumptions for scenario development (e.g. frequency and time period of use, number of occupants)</w:t>
            </w:r>
          </w:p>
        </w:tc>
        <w:tc>
          <w:tcPr>
            <w:tcW w:w="108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1F1B70">
            <w:pPr>
              <w:ind w:left="6"/>
              <w:jc w:val="center"/>
              <w:rPr>
                <w:sz w:val="16"/>
                <w:szCs w:val="16"/>
              </w:rPr>
            </w:pPr>
          </w:p>
        </w:tc>
      </w:tr>
    </w:tbl>
    <w:p w:rsidR="001F1B70" w:rsidRDefault="001F1B70">
      <w:pPr>
        <w:pStyle w:val="Subtitle"/>
      </w:pPr>
    </w:p>
    <w:p w:rsidR="001F1B70" w:rsidRDefault="00D67CA6">
      <w:pPr>
        <w:pStyle w:val="Subtitle"/>
      </w:pPr>
      <w:r>
        <w:t>Table 9. Repair (B3)</w:t>
      </w:r>
    </w:p>
    <w:tbl>
      <w:tblPr>
        <w:tblStyle w:val="aa"/>
        <w:tblW w:w="6849" w:type="dxa"/>
        <w:tblInd w:w="-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509"/>
        <w:gridCol w:w="1080"/>
        <w:gridCol w:w="1260"/>
      </w:tblGrid>
      <w:tr w:rsidR="001F1B70">
        <w:trPr>
          <w:trHeight w:val="180"/>
        </w:trPr>
        <w:tc>
          <w:tcPr>
            <w:tcW w:w="4509"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9" w:lineRule="auto"/>
            </w:pPr>
            <w:r>
              <w:rPr>
                <w:b/>
                <w:sz w:val="16"/>
                <w:szCs w:val="16"/>
              </w:rPr>
              <w:t>Name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9" w:lineRule="auto"/>
              <w:ind w:left="137"/>
            </w:pPr>
            <w:r>
              <w:rPr>
                <w:b/>
                <w:sz w:val="16"/>
                <w:szCs w:val="16"/>
              </w:rPr>
              <w:t>Value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9" w:lineRule="auto"/>
              <w:ind w:left="6"/>
              <w:jc w:val="center"/>
            </w:pPr>
            <w:r>
              <w:rPr>
                <w:b/>
                <w:sz w:val="16"/>
                <w:szCs w:val="16"/>
              </w:rPr>
              <w:t>Unit</w:t>
            </w:r>
          </w:p>
        </w:tc>
      </w:tr>
      <w:tr w:rsidR="001F1B70">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Repair process information (cite source in report)</w:t>
            </w:r>
          </w:p>
        </w:tc>
        <w:tc>
          <w:tcPr>
            <w:tcW w:w="108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6"/>
              <w:jc w:val="center"/>
              <w:rPr>
                <w:sz w:val="16"/>
                <w:szCs w:val="16"/>
              </w:rPr>
            </w:pPr>
            <w:r>
              <w:rPr>
                <w:sz w:val="16"/>
                <w:szCs w:val="16"/>
              </w:rPr>
              <w:t>-</w:t>
            </w:r>
          </w:p>
        </w:tc>
      </w:tr>
      <w:tr w:rsidR="001F1B70">
        <w:trPr>
          <w:trHeight w:val="200"/>
        </w:trPr>
        <w:tc>
          <w:tcPr>
            <w:tcW w:w="450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Inspection process information (cite source in report)</w:t>
            </w:r>
          </w:p>
        </w:tc>
        <w:tc>
          <w:tcPr>
            <w:tcW w:w="108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6"/>
              <w:jc w:val="center"/>
              <w:rPr>
                <w:sz w:val="16"/>
                <w:szCs w:val="16"/>
              </w:rPr>
            </w:pPr>
            <w:r>
              <w:rPr>
                <w:sz w:val="16"/>
                <w:szCs w:val="16"/>
              </w:rPr>
              <w:t>-</w:t>
            </w:r>
          </w:p>
        </w:tc>
      </w:tr>
      <w:tr w:rsidR="001F1B70">
        <w:trPr>
          <w:trHeight w:val="260"/>
        </w:trPr>
        <w:tc>
          <w:tcPr>
            <w:tcW w:w="450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Repair cycle</w:t>
            </w:r>
          </w:p>
        </w:tc>
        <w:tc>
          <w:tcPr>
            <w:tcW w:w="108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Cycles/ RSL</w:t>
            </w:r>
          </w:p>
        </w:tc>
      </w:tr>
      <w:tr w:rsidR="001F1B70">
        <w:trPr>
          <w:trHeight w:val="260"/>
        </w:trPr>
        <w:tc>
          <w:tcPr>
            <w:tcW w:w="450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lastRenderedPageBreak/>
              <w:t>Repair cycle</w:t>
            </w:r>
          </w:p>
        </w:tc>
        <w:tc>
          <w:tcPr>
            <w:tcW w:w="108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Cycles/ ESL</w:t>
            </w:r>
          </w:p>
        </w:tc>
      </w:tr>
      <w:tr w:rsidR="001F1B70">
        <w:trPr>
          <w:trHeight w:val="200"/>
        </w:trPr>
        <w:tc>
          <w:tcPr>
            <w:tcW w:w="4509"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rsidR="001F1B70" w:rsidRDefault="00D67CA6">
            <w:pPr>
              <w:rPr>
                <w:sz w:val="16"/>
                <w:szCs w:val="16"/>
              </w:rPr>
            </w:pPr>
            <w:r>
              <w:rPr>
                <w:sz w:val="16"/>
                <w:szCs w:val="16"/>
              </w:rPr>
              <w:t>Net freshwater consumption specified by water source and fate (e.g., X m3 river water evaporated, X m3 city water disposed to sewer)</w:t>
            </w:r>
          </w:p>
        </w:tc>
        <w:tc>
          <w:tcPr>
            <w:tcW w:w="108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rsidR="001F1B70" w:rsidRDefault="00D67CA6">
            <w:pPr>
              <w:ind w:left="110"/>
              <w:jc w:val="center"/>
              <w:rPr>
                <w:sz w:val="16"/>
                <w:szCs w:val="16"/>
              </w:rPr>
            </w:pPr>
            <w:r>
              <w:rPr>
                <w:sz w:val="16"/>
                <w:szCs w:val="16"/>
              </w:rPr>
              <w:t>m</w:t>
            </w:r>
            <w:r>
              <w:rPr>
                <w:sz w:val="16"/>
                <w:szCs w:val="16"/>
                <w:vertAlign w:val="superscript"/>
              </w:rPr>
              <w:t>3</w:t>
            </w:r>
          </w:p>
        </w:tc>
      </w:tr>
      <w:tr w:rsidR="001F1B70">
        <w:trPr>
          <w:trHeight w:val="200"/>
        </w:trPr>
        <w:tc>
          <w:tcPr>
            <w:tcW w:w="4509"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rsidR="001F1B70" w:rsidRDefault="00D67CA6">
            <w:pPr>
              <w:rPr>
                <w:sz w:val="16"/>
                <w:szCs w:val="16"/>
              </w:rPr>
            </w:pPr>
            <w:r>
              <w:rPr>
                <w:sz w:val="16"/>
                <w:szCs w:val="16"/>
              </w:rPr>
              <w:t>Ancillary materials specified by type (e.g. cleaning agent)</w:t>
            </w:r>
          </w:p>
        </w:tc>
        <w:tc>
          <w:tcPr>
            <w:tcW w:w="108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rsidR="001F1B70" w:rsidRDefault="00D67CA6">
            <w:pPr>
              <w:ind w:left="110"/>
              <w:jc w:val="center"/>
              <w:rPr>
                <w:sz w:val="16"/>
                <w:szCs w:val="16"/>
              </w:rPr>
            </w:pPr>
            <w:r>
              <w:rPr>
                <w:sz w:val="16"/>
                <w:szCs w:val="16"/>
              </w:rPr>
              <w:t>kg</w:t>
            </w:r>
          </w:p>
        </w:tc>
      </w:tr>
      <w:tr w:rsidR="001F1B70">
        <w:trPr>
          <w:trHeight w:val="200"/>
        </w:trPr>
        <w:tc>
          <w:tcPr>
            <w:tcW w:w="4509"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rsidR="001F1B70" w:rsidRDefault="00D67CA6">
            <w:pPr>
              <w:rPr>
                <w:sz w:val="16"/>
                <w:szCs w:val="16"/>
              </w:rPr>
            </w:pPr>
            <w:r>
              <w:rPr>
                <w:sz w:val="16"/>
                <w:szCs w:val="16"/>
              </w:rPr>
              <w:t>Energy input, specified by activity, type and amount</w:t>
            </w:r>
          </w:p>
        </w:tc>
        <w:tc>
          <w:tcPr>
            <w:tcW w:w="108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rsidR="001F1B70" w:rsidRDefault="00D67CA6">
            <w:pPr>
              <w:ind w:left="110"/>
              <w:jc w:val="center"/>
              <w:rPr>
                <w:sz w:val="16"/>
                <w:szCs w:val="16"/>
              </w:rPr>
            </w:pPr>
            <w:r>
              <w:rPr>
                <w:sz w:val="16"/>
                <w:szCs w:val="16"/>
              </w:rPr>
              <w:t>kWh</w:t>
            </w:r>
          </w:p>
        </w:tc>
      </w:tr>
      <w:tr w:rsidR="001F1B70">
        <w:trPr>
          <w:trHeight w:val="200"/>
        </w:trPr>
        <w:tc>
          <w:tcPr>
            <w:tcW w:w="4509"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rsidR="001F1B70" w:rsidRDefault="00D67CA6">
            <w:pPr>
              <w:rPr>
                <w:sz w:val="16"/>
                <w:szCs w:val="16"/>
              </w:rPr>
            </w:pPr>
            <w:r>
              <w:rPr>
                <w:sz w:val="16"/>
                <w:szCs w:val="16"/>
              </w:rPr>
              <w:t>Waste materials from repair (specify materials)</w:t>
            </w:r>
          </w:p>
        </w:tc>
        <w:tc>
          <w:tcPr>
            <w:tcW w:w="108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rsidR="001F1B70" w:rsidRDefault="00D67CA6">
            <w:pPr>
              <w:jc w:val="center"/>
              <w:rPr>
                <w:sz w:val="16"/>
                <w:szCs w:val="16"/>
              </w:rPr>
            </w:pPr>
            <w:r>
              <w:rPr>
                <w:sz w:val="16"/>
                <w:szCs w:val="16"/>
              </w:rPr>
              <w:t>kg</w:t>
            </w:r>
          </w:p>
        </w:tc>
      </w:tr>
      <w:tr w:rsidR="001F1B70">
        <w:trPr>
          <w:trHeight w:val="200"/>
        </w:trPr>
        <w:tc>
          <w:tcPr>
            <w:tcW w:w="4509"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rsidR="001F1B70" w:rsidRDefault="00D67CA6">
            <w:pPr>
              <w:rPr>
                <w:sz w:val="16"/>
                <w:szCs w:val="16"/>
              </w:rPr>
            </w:pPr>
            <w:r>
              <w:rPr>
                <w:sz w:val="16"/>
                <w:szCs w:val="16"/>
              </w:rPr>
              <w:t>Direct emissions to ambient air, soil and water</w:t>
            </w:r>
          </w:p>
        </w:tc>
        <w:tc>
          <w:tcPr>
            <w:tcW w:w="108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rsidR="001F1B70" w:rsidRDefault="00D67CA6">
            <w:pPr>
              <w:ind w:left="110"/>
              <w:jc w:val="center"/>
              <w:rPr>
                <w:sz w:val="16"/>
                <w:szCs w:val="16"/>
              </w:rPr>
            </w:pPr>
            <w:r>
              <w:rPr>
                <w:sz w:val="16"/>
                <w:szCs w:val="16"/>
              </w:rPr>
              <w:t>kg</w:t>
            </w:r>
          </w:p>
        </w:tc>
      </w:tr>
      <w:tr w:rsidR="001F1B70">
        <w:trPr>
          <w:trHeight w:val="200"/>
        </w:trPr>
        <w:tc>
          <w:tcPr>
            <w:tcW w:w="4509"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rsidR="001F1B70" w:rsidRDefault="00D67CA6">
            <w:pPr>
              <w:rPr>
                <w:sz w:val="16"/>
                <w:szCs w:val="16"/>
              </w:rPr>
            </w:pPr>
            <w:r>
              <w:rPr>
                <w:sz w:val="16"/>
                <w:szCs w:val="16"/>
              </w:rPr>
              <w:t>Further assumptions for scenario development (e.g. frequency and time period of use, number of occupants);</w:t>
            </w:r>
          </w:p>
        </w:tc>
        <w:tc>
          <w:tcPr>
            <w:tcW w:w="108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tcMar>
              <w:top w:w="11" w:type="dxa"/>
              <w:left w:w="5" w:type="dxa"/>
              <w:right w:w="115" w:type="dxa"/>
            </w:tcMar>
            <w:vAlign w:val="center"/>
          </w:tcPr>
          <w:p w:rsidR="001F1B70" w:rsidRDefault="001F1B70">
            <w:pPr>
              <w:ind w:left="110"/>
              <w:jc w:val="center"/>
              <w:rPr>
                <w:sz w:val="16"/>
                <w:szCs w:val="16"/>
              </w:rPr>
            </w:pPr>
          </w:p>
        </w:tc>
      </w:tr>
    </w:tbl>
    <w:p w:rsidR="001F1B70" w:rsidRDefault="00D67CA6">
      <w:pPr>
        <w:pStyle w:val="Heading2"/>
        <w:ind w:left="-5" w:firstLine="5"/>
      </w:pPr>
      <w:r>
        <w:t>Replacement (B4) / Refurbishment (B5)</w:t>
      </w:r>
    </w:p>
    <w:p w:rsidR="001F1B70" w:rsidRDefault="00D67CA6">
      <w:pPr>
        <w:ind w:left="-5" w:right="47"/>
      </w:pPr>
      <w:r>
        <w:t xml:space="preserve">The number of replacements of product expected during the building ESL of 75 years shall be declared. Required or expected maintenance are to be modelled according to manufacturer’s guidelines. Assumptions and key parameters shall be clearly </w:t>
      </w:r>
      <w:r w:rsidR="00811E40">
        <w:t>stated,</w:t>
      </w:r>
      <w:r>
        <w:t xml:space="preserve"> and the manufacturer is to submit supporting documentation to justify the assumptions made.</w:t>
      </w:r>
    </w:p>
    <w:p w:rsidR="001F1B70" w:rsidRDefault="00D67CA6">
      <w:pPr>
        <w:ind w:left="-5" w:right="47"/>
      </w:pPr>
      <w:r>
        <w:t xml:space="preserve">If the RSL is less than the building’s ESL of 75 years, the number of replacements that will be necessary to fulfil the required performance and functionality over the building ESL shall be identified. </w:t>
      </w:r>
    </w:p>
    <w:p w:rsidR="001F1B70" w:rsidRDefault="00D67CA6">
      <w:pPr>
        <w:spacing w:before="240"/>
        <w:ind w:left="-5" w:right="47"/>
      </w:pPr>
      <w:r>
        <w:t xml:space="preserve">Replacements should be rounded-up to the nearest tenths of the ESL of the building; e.g., 1.47 rounded to 1.5. </w:t>
      </w:r>
    </w:p>
    <w:p w:rsidR="001F1B70" w:rsidRDefault="00D67CA6">
      <w:pPr>
        <w:pStyle w:val="Subtitle"/>
      </w:pPr>
      <w:r>
        <w:t>Table 10. Replacement (B4)</w:t>
      </w:r>
    </w:p>
    <w:tbl>
      <w:tblPr>
        <w:tblStyle w:val="ab"/>
        <w:tblW w:w="6129" w:type="dxa"/>
        <w:tblInd w:w="-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149"/>
        <w:gridCol w:w="720"/>
        <w:gridCol w:w="1260"/>
      </w:tblGrid>
      <w:tr w:rsidR="001F1B70">
        <w:trPr>
          <w:trHeight w:val="180"/>
        </w:trPr>
        <w:tc>
          <w:tcPr>
            <w:tcW w:w="4149"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4" w:lineRule="auto"/>
            </w:pPr>
            <w:r>
              <w:rPr>
                <w:b/>
                <w:sz w:val="16"/>
                <w:szCs w:val="16"/>
              </w:rPr>
              <w:t>Name</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4" w:lineRule="auto"/>
              <w:ind w:left="137"/>
            </w:pPr>
            <w:r>
              <w:rPr>
                <w:b/>
                <w:sz w:val="16"/>
                <w:szCs w:val="16"/>
              </w:rPr>
              <w:t>Value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4" w:lineRule="auto"/>
              <w:ind w:left="6"/>
              <w:jc w:val="center"/>
            </w:pPr>
            <w:r>
              <w:rPr>
                <w:b/>
                <w:sz w:val="16"/>
                <w:szCs w:val="16"/>
              </w:rPr>
              <w:t>Unit</w:t>
            </w:r>
          </w:p>
        </w:tc>
      </w:tr>
      <w:tr w:rsidR="001F1B70">
        <w:trPr>
          <w:trHeight w:val="26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RSL</w:t>
            </w:r>
          </w:p>
        </w:tc>
        <w:tc>
          <w:tcPr>
            <w:tcW w:w="72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Years</w:t>
            </w:r>
          </w:p>
        </w:tc>
      </w:tr>
      <w:tr w:rsidR="001F1B70">
        <w:trPr>
          <w:trHeight w:val="34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 xml:space="preserve">Replacement cycle </w:t>
            </w:r>
          </w:p>
        </w:tc>
        <w:tc>
          <w:tcPr>
            <w:tcW w:w="72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 xml:space="preserve">(ESL/RSL) - 1 </w:t>
            </w:r>
          </w:p>
        </w:tc>
      </w:tr>
      <w:tr w:rsidR="001F1B70">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Energy input, specified by activity, type and amount</w:t>
            </w:r>
          </w:p>
        </w:tc>
        <w:tc>
          <w:tcPr>
            <w:tcW w:w="72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kWh</w:t>
            </w:r>
          </w:p>
        </w:tc>
      </w:tr>
      <w:tr w:rsidR="001F1B70">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Net freshwater consumption specified by water source and fate (e.g., X m3 river water evaporated, X m3 city water disposed to sewer)</w:t>
            </w:r>
          </w:p>
        </w:tc>
        <w:tc>
          <w:tcPr>
            <w:tcW w:w="72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m</w:t>
            </w:r>
            <w:r>
              <w:rPr>
                <w:sz w:val="16"/>
                <w:szCs w:val="16"/>
                <w:vertAlign w:val="superscript"/>
              </w:rPr>
              <w:t>3</w:t>
            </w:r>
          </w:p>
        </w:tc>
      </w:tr>
      <w:tr w:rsidR="001F1B70">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Ancillary materials specified by type and amount (e.g. cleaning agent)</w:t>
            </w:r>
          </w:p>
        </w:tc>
        <w:tc>
          <w:tcPr>
            <w:tcW w:w="72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6"/>
              <w:jc w:val="center"/>
              <w:rPr>
                <w:sz w:val="16"/>
                <w:szCs w:val="16"/>
              </w:rPr>
            </w:pPr>
            <w:r>
              <w:rPr>
                <w:sz w:val="16"/>
                <w:szCs w:val="16"/>
              </w:rPr>
              <w:t>kg</w:t>
            </w:r>
          </w:p>
        </w:tc>
      </w:tr>
      <w:tr w:rsidR="001F1B70">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Replacement of worn parts, specify parts/materials</w:t>
            </w:r>
          </w:p>
        </w:tc>
        <w:tc>
          <w:tcPr>
            <w:tcW w:w="72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6"/>
              <w:jc w:val="center"/>
              <w:rPr>
                <w:sz w:val="16"/>
                <w:szCs w:val="16"/>
              </w:rPr>
            </w:pPr>
            <w:r>
              <w:rPr>
                <w:sz w:val="16"/>
                <w:szCs w:val="16"/>
              </w:rPr>
              <w:t>kg</w:t>
            </w:r>
          </w:p>
        </w:tc>
      </w:tr>
      <w:tr w:rsidR="001F1B70">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Direct emissions to ambient air, soil and water</w:t>
            </w:r>
          </w:p>
        </w:tc>
        <w:tc>
          <w:tcPr>
            <w:tcW w:w="72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6"/>
              <w:jc w:val="center"/>
              <w:rPr>
                <w:sz w:val="16"/>
                <w:szCs w:val="16"/>
              </w:rPr>
            </w:pPr>
            <w:r>
              <w:rPr>
                <w:sz w:val="16"/>
                <w:szCs w:val="16"/>
              </w:rPr>
              <w:t>kg</w:t>
            </w:r>
          </w:p>
        </w:tc>
      </w:tr>
      <w:tr w:rsidR="001F1B70">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rFonts w:ascii="Calibri" w:eastAsia="Calibri" w:hAnsi="Calibri" w:cs="Calibri"/>
                <w:sz w:val="16"/>
                <w:szCs w:val="16"/>
              </w:rPr>
            </w:pPr>
            <w:r>
              <w:rPr>
                <w:sz w:val="16"/>
                <w:szCs w:val="16"/>
              </w:rPr>
              <w:t>Further assumptions for scenario development, e.g. frequency and time period of use</w:t>
            </w:r>
          </w:p>
        </w:tc>
        <w:tc>
          <w:tcPr>
            <w:tcW w:w="72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6"/>
              <w:jc w:val="center"/>
              <w:rPr>
                <w:rFonts w:ascii="Calibri" w:eastAsia="Calibri" w:hAnsi="Calibri" w:cs="Calibri"/>
                <w:sz w:val="16"/>
                <w:szCs w:val="16"/>
              </w:rPr>
            </w:pPr>
            <w:r>
              <w:rPr>
                <w:sz w:val="16"/>
                <w:szCs w:val="16"/>
              </w:rPr>
              <w:t>As appropriate</w:t>
            </w:r>
          </w:p>
        </w:tc>
      </w:tr>
    </w:tbl>
    <w:p w:rsidR="001F1B70" w:rsidRDefault="00D67CA6">
      <w:pPr>
        <w:pStyle w:val="Subtitle"/>
        <w:spacing w:before="240"/>
      </w:pPr>
      <w:bookmarkStart w:id="25" w:name="_3whwml4" w:colFirst="0" w:colLast="0"/>
      <w:bookmarkEnd w:id="25"/>
      <w:r>
        <w:t xml:space="preserve">Table 11. </w:t>
      </w:r>
      <w:r>
        <w:rPr>
          <w:rFonts w:ascii="Calibri" w:eastAsia="Calibri" w:hAnsi="Calibri" w:cs="Calibri"/>
          <w:sz w:val="22"/>
          <w:szCs w:val="22"/>
        </w:rPr>
        <w:t>Refurbishment (B5)</w:t>
      </w:r>
    </w:p>
    <w:tbl>
      <w:tblPr>
        <w:tblStyle w:val="ac"/>
        <w:tblW w:w="6129" w:type="dxa"/>
        <w:tblInd w:w="-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149"/>
        <w:gridCol w:w="720"/>
        <w:gridCol w:w="1260"/>
      </w:tblGrid>
      <w:tr w:rsidR="001F1B70">
        <w:trPr>
          <w:trHeight w:val="180"/>
        </w:trPr>
        <w:tc>
          <w:tcPr>
            <w:tcW w:w="41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1B70" w:rsidRDefault="00D67CA6">
            <w:pPr>
              <w:spacing w:line="254" w:lineRule="auto"/>
            </w:pPr>
            <w:r>
              <w:rPr>
                <w:b/>
                <w:sz w:val="16"/>
                <w:szCs w:val="16"/>
              </w:rPr>
              <w:t>Name</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1B70" w:rsidRDefault="00D67CA6">
            <w:pPr>
              <w:spacing w:line="254" w:lineRule="auto"/>
              <w:ind w:left="137"/>
            </w:pPr>
            <w:r>
              <w:rPr>
                <w:b/>
                <w:sz w:val="16"/>
                <w:szCs w:val="16"/>
              </w:rPr>
              <w:t>Value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1B70" w:rsidRDefault="00D67CA6">
            <w:pPr>
              <w:spacing w:line="254" w:lineRule="auto"/>
              <w:ind w:left="6"/>
              <w:jc w:val="center"/>
            </w:pPr>
            <w:r>
              <w:rPr>
                <w:b/>
                <w:sz w:val="16"/>
                <w:szCs w:val="16"/>
              </w:rPr>
              <w:t>Unit</w:t>
            </w:r>
          </w:p>
        </w:tc>
      </w:tr>
      <w:tr w:rsidR="001F1B70">
        <w:trPr>
          <w:trHeight w:val="42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rFonts w:ascii="Calibri" w:eastAsia="Calibri" w:hAnsi="Calibri" w:cs="Calibri"/>
                <w:sz w:val="16"/>
                <w:szCs w:val="16"/>
              </w:rPr>
            </w:pPr>
            <w:r>
              <w:rPr>
                <w:sz w:val="16"/>
                <w:szCs w:val="16"/>
              </w:rPr>
              <w:t xml:space="preserve">Refurbishment process </w:t>
            </w:r>
            <w:r w:rsidR="00811E40">
              <w:rPr>
                <w:sz w:val="16"/>
                <w:szCs w:val="16"/>
              </w:rPr>
              <w:t>description (</w:t>
            </w:r>
            <w:r>
              <w:rPr>
                <w:sz w:val="16"/>
                <w:szCs w:val="16"/>
              </w:rPr>
              <w:t>cite source in report)</w:t>
            </w:r>
          </w:p>
        </w:tc>
        <w:tc>
          <w:tcPr>
            <w:tcW w:w="72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1F1B70">
            <w:pPr>
              <w:jc w:val="center"/>
              <w:rPr>
                <w:rFonts w:ascii="Calibri" w:eastAsia="Calibri" w:hAnsi="Calibri" w:cs="Calibri"/>
                <w:sz w:val="16"/>
                <w:szCs w:val="16"/>
              </w:rPr>
            </w:pPr>
          </w:p>
        </w:tc>
      </w:tr>
      <w:tr w:rsidR="001F1B70">
        <w:trPr>
          <w:trHeight w:val="16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 xml:space="preserve">Replacement cycle </w:t>
            </w:r>
          </w:p>
        </w:tc>
        <w:tc>
          <w:tcPr>
            <w:tcW w:w="72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Cycles/ RSL</w:t>
            </w:r>
          </w:p>
        </w:tc>
      </w:tr>
      <w:tr w:rsidR="001F1B70">
        <w:trPr>
          <w:trHeight w:val="24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 xml:space="preserve">Replacement cycle </w:t>
            </w:r>
          </w:p>
        </w:tc>
        <w:tc>
          <w:tcPr>
            <w:tcW w:w="72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Cycles/ ESL</w:t>
            </w:r>
          </w:p>
        </w:tc>
      </w:tr>
      <w:tr w:rsidR="001F1B70">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Energy input, specified by activity, type and amount</w:t>
            </w:r>
          </w:p>
        </w:tc>
        <w:tc>
          <w:tcPr>
            <w:tcW w:w="72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171"/>
              <w:jc w:val="center"/>
              <w:rPr>
                <w:sz w:val="16"/>
                <w:szCs w:val="16"/>
              </w:rPr>
            </w:pPr>
            <w:r>
              <w:rPr>
                <w:sz w:val="16"/>
                <w:szCs w:val="16"/>
              </w:rPr>
              <w:t>kWh</w:t>
            </w:r>
          </w:p>
        </w:tc>
      </w:tr>
      <w:tr w:rsidR="001F1B70">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Net freshwater consumption specified by water source and fate (e.g., X m3 river water evaporated, X m3 city water disposed to sewer)</w:t>
            </w:r>
          </w:p>
        </w:tc>
        <w:tc>
          <w:tcPr>
            <w:tcW w:w="72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m</w:t>
            </w:r>
            <w:r>
              <w:rPr>
                <w:sz w:val="16"/>
                <w:szCs w:val="16"/>
                <w:vertAlign w:val="superscript"/>
              </w:rPr>
              <w:t>3</w:t>
            </w:r>
          </w:p>
        </w:tc>
      </w:tr>
      <w:tr w:rsidR="001F1B70">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Material input for refurbishment, including ancillary materials specified by type (e.g. cleaning agent)</w:t>
            </w:r>
          </w:p>
        </w:tc>
        <w:tc>
          <w:tcPr>
            <w:tcW w:w="72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kg</w:t>
            </w:r>
          </w:p>
        </w:tc>
      </w:tr>
      <w:tr w:rsidR="001F1B70">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rFonts w:ascii="Calibri" w:eastAsia="Calibri" w:hAnsi="Calibri" w:cs="Calibri"/>
                <w:sz w:val="16"/>
                <w:szCs w:val="16"/>
              </w:rPr>
            </w:pPr>
            <w:r>
              <w:rPr>
                <w:sz w:val="16"/>
                <w:szCs w:val="16"/>
              </w:rPr>
              <w:lastRenderedPageBreak/>
              <w:t xml:space="preserve">Waste material(s), specified by material </w:t>
            </w:r>
          </w:p>
        </w:tc>
        <w:tc>
          <w:tcPr>
            <w:tcW w:w="72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rFonts w:ascii="Calibri" w:eastAsia="Calibri" w:hAnsi="Calibri" w:cs="Calibri"/>
                <w:sz w:val="16"/>
                <w:szCs w:val="16"/>
              </w:rPr>
            </w:pPr>
            <w:r>
              <w:rPr>
                <w:sz w:val="16"/>
                <w:szCs w:val="16"/>
              </w:rPr>
              <w:t>kg</w:t>
            </w:r>
          </w:p>
        </w:tc>
      </w:tr>
      <w:tr w:rsidR="001F1B70">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Direct emissions to ambient air, soil and water</w:t>
            </w:r>
          </w:p>
        </w:tc>
        <w:tc>
          <w:tcPr>
            <w:tcW w:w="72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6"/>
              <w:jc w:val="center"/>
              <w:rPr>
                <w:sz w:val="16"/>
                <w:szCs w:val="16"/>
              </w:rPr>
            </w:pPr>
            <w:r>
              <w:rPr>
                <w:sz w:val="16"/>
                <w:szCs w:val="16"/>
              </w:rPr>
              <w:t>kg</w:t>
            </w:r>
          </w:p>
        </w:tc>
      </w:tr>
      <w:tr w:rsidR="001F1B70">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Further assumptions for scenario development (e.g. frequency and time period of use, number of occupants);</w:t>
            </w:r>
          </w:p>
        </w:tc>
        <w:tc>
          <w:tcPr>
            <w:tcW w:w="720" w:type="dxa"/>
            <w:tcBorders>
              <w:top w:val="single" w:sz="4" w:space="0" w:color="000000"/>
              <w:left w:val="single" w:sz="4" w:space="0" w:color="000000"/>
              <w:bottom w:val="single" w:sz="4" w:space="0" w:color="000000"/>
              <w:right w:val="single" w:sz="4" w:space="0" w:color="000000"/>
            </w:tcBorders>
            <w:vAlign w:val="center"/>
          </w:tcPr>
          <w:p w:rsidR="001F1B70" w:rsidRDefault="001F1B70">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F1B70" w:rsidRDefault="001F1B70">
            <w:pPr>
              <w:ind w:left="6"/>
              <w:jc w:val="center"/>
              <w:rPr>
                <w:sz w:val="16"/>
                <w:szCs w:val="16"/>
              </w:rPr>
            </w:pPr>
          </w:p>
        </w:tc>
      </w:tr>
    </w:tbl>
    <w:p w:rsidR="001F1B70" w:rsidRDefault="00D67CA6">
      <w:pPr>
        <w:pStyle w:val="Subtitle"/>
        <w:spacing w:before="240"/>
      </w:pPr>
      <w:r>
        <w:t>Table 12. Operational energy use (B6) and Operational water use (B7)</w:t>
      </w:r>
    </w:p>
    <w:p w:rsidR="001F1B70" w:rsidRDefault="00D67CA6">
      <w:r>
        <w:t>Doors and door frames, in most cases, do not directly consume any energy. However, the performance of a door and frame will affect the energy consumed by the HVAC (heating and cooling) system in the building. To address this, the use stage energy calculations in this PCR are based on the amount of heat gain, heat loss, and air leakage associated with a door and frame product system. This is a different approach from other building envelope materials such as wall insulation, sheathing, or roofing materials. Because of this inclusion of heat loss, heat gain, and air leakage, the environmental impacts and energy associated with doors and frames shall not be compared to other building envelope products.</w:t>
      </w:r>
    </w:p>
    <w:p w:rsidR="001F1B70" w:rsidRDefault="00D67CA6">
      <w:r>
        <w:t xml:space="preserve">The framework for calculation of building operational energy consumption attributable to the door and frame is presented in the Appendix, Section ‎10. </w:t>
      </w:r>
    </w:p>
    <w:p w:rsidR="001F1B70" w:rsidRDefault="00D67CA6">
      <w:r>
        <w:t>Note that the framework provides additional steps for calculating the time to recover (in days) the Primary Energy Demand (PED) associated with the manufacturing of the door (A1 to A3) with set thermal resistance (R-Value) compared to a pre-defined baseline door (Uninsulated door). Recovery time is calculated based on upfront energy spent to manufacture the door, versus energy savings realized during use of an insulated door compared to the uninsulated baseline. PED recovery time, if calculated, shall be reported under Section ‎7 and not in Module B6.</w:t>
      </w:r>
    </w:p>
    <w:tbl>
      <w:tblPr>
        <w:tblStyle w:val="ad"/>
        <w:tblW w:w="6039" w:type="dxa"/>
        <w:tblInd w:w="-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149"/>
        <w:gridCol w:w="720"/>
        <w:gridCol w:w="1170"/>
      </w:tblGrid>
      <w:tr w:rsidR="001F1B70">
        <w:trPr>
          <w:trHeight w:val="180"/>
        </w:trPr>
        <w:tc>
          <w:tcPr>
            <w:tcW w:w="4149"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9" w:lineRule="auto"/>
            </w:pPr>
            <w:r>
              <w:rPr>
                <w:b/>
                <w:sz w:val="16"/>
                <w:szCs w:val="16"/>
              </w:rPr>
              <w:t>Name</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9" w:lineRule="auto"/>
              <w:ind w:left="137"/>
            </w:pPr>
            <w:r>
              <w:rPr>
                <w:b/>
                <w:sz w:val="16"/>
                <w:szCs w:val="16"/>
              </w:rPr>
              <w:t>Value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9" w:lineRule="auto"/>
              <w:ind w:left="112"/>
              <w:jc w:val="center"/>
            </w:pPr>
            <w:r>
              <w:rPr>
                <w:b/>
                <w:sz w:val="16"/>
                <w:szCs w:val="16"/>
              </w:rPr>
              <w:t>Unit</w:t>
            </w:r>
          </w:p>
        </w:tc>
      </w:tr>
      <w:tr w:rsidR="001F1B70">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Net freshwater consumption specified by water source and fate (e.g., X m3 river water evaporated, X m3 city water disposed to sewer)</w:t>
            </w:r>
          </w:p>
        </w:tc>
        <w:tc>
          <w:tcPr>
            <w:tcW w:w="720" w:type="dxa"/>
            <w:tcBorders>
              <w:top w:val="single" w:sz="4" w:space="0" w:color="000000"/>
              <w:left w:val="single" w:sz="4" w:space="0" w:color="000000"/>
              <w:bottom w:val="single" w:sz="4" w:space="0" w:color="000000"/>
              <w:right w:val="single" w:sz="4" w:space="0" w:color="000000"/>
            </w:tcBorders>
          </w:tcPr>
          <w:p w:rsidR="001F1B70" w:rsidRDefault="001F1B70"/>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113"/>
              <w:jc w:val="center"/>
              <w:rPr>
                <w:sz w:val="16"/>
                <w:szCs w:val="16"/>
              </w:rPr>
            </w:pPr>
            <w:r>
              <w:rPr>
                <w:sz w:val="16"/>
                <w:szCs w:val="16"/>
              </w:rPr>
              <w:t>m</w:t>
            </w:r>
            <w:r>
              <w:rPr>
                <w:sz w:val="16"/>
                <w:szCs w:val="16"/>
                <w:vertAlign w:val="superscript"/>
              </w:rPr>
              <w:t>3</w:t>
            </w:r>
          </w:p>
        </w:tc>
      </w:tr>
      <w:tr w:rsidR="001F1B70">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Ancillary materials</w:t>
            </w:r>
          </w:p>
        </w:tc>
        <w:tc>
          <w:tcPr>
            <w:tcW w:w="720" w:type="dxa"/>
            <w:tcBorders>
              <w:top w:val="single" w:sz="4" w:space="0" w:color="000000"/>
              <w:left w:val="single" w:sz="4" w:space="0" w:color="000000"/>
              <w:bottom w:val="single" w:sz="4" w:space="0" w:color="000000"/>
              <w:right w:val="single" w:sz="4" w:space="0" w:color="000000"/>
            </w:tcBorders>
          </w:tcPr>
          <w:p w:rsidR="001F1B70" w:rsidRDefault="001F1B70"/>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171"/>
              <w:jc w:val="center"/>
              <w:rPr>
                <w:sz w:val="16"/>
                <w:szCs w:val="16"/>
              </w:rPr>
            </w:pPr>
            <w:r>
              <w:rPr>
                <w:sz w:val="16"/>
                <w:szCs w:val="16"/>
              </w:rPr>
              <w:t>kg</w:t>
            </w:r>
          </w:p>
        </w:tc>
      </w:tr>
      <w:tr w:rsidR="001F1B70">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Energy input, specified by activity, type and amount</w:t>
            </w:r>
          </w:p>
        </w:tc>
        <w:tc>
          <w:tcPr>
            <w:tcW w:w="720" w:type="dxa"/>
            <w:tcBorders>
              <w:top w:val="single" w:sz="4" w:space="0" w:color="000000"/>
              <w:left w:val="single" w:sz="4" w:space="0" w:color="000000"/>
              <w:bottom w:val="single" w:sz="4" w:space="0" w:color="000000"/>
              <w:right w:val="single" w:sz="4" w:space="0" w:color="000000"/>
            </w:tcBorders>
          </w:tcPr>
          <w:p w:rsidR="001F1B70" w:rsidRDefault="001F1B70"/>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171"/>
              <w:jc w:val="center"/>
              <w:rPr>
                <w:sz w:val="16"/>
                <w:szCs w:val="16"/>
              </w:rPr>
            </w:pPr>
            <w:r>
              <w:rPr>
                <w:sz w:val="16"/>
                <w:szCs w:val="16"/>
              </w:rPr>
              <w:t>kWh</w:t>
            </w:r>
          </w:p>
        </w:tc>
      </w:tr>
      <w:tr w:rsidR="001F1B70">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 xml:space="preserve">Equipment power output </w:t>
            </w:r>
          </w:p>
        </w:tc>
        <w:tc>
          <w:tcPr>
            <w:tcW w:w="720" w:type="dxa"/>
            <w:tcBorders>
              <w:top w:val="single" w:sz="4" w:space="0" w:color="000000"/>
              <w:left w:val="single" w:sz="4" w:space="0" w:color="000000"/>
              <w:bottom w:val="single" w:sz="4" w:space="0" w:color="000000"/>
              <w:right w:val="single" w:sz="4" w:space="0" w:color="000000"/>
            </w:tcBorders>
          </w:tcPr>
          <w:p w:rsidR="001F1B70" w:rsidRDefault="001F1B70"/>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221"/>
              <w:jc w:val="center"/>
              <w:rPr>
                <w:sz w:val="16"/>
                <w:szCs w:val="16"/>
              </w:rPr>
            </w:pPr>
            <w:r>
              <w:rPr>
                <w:sz w:val="16"/>
                <w:szCs w:val="16"/>
              </w:rPr>
              <w:t>kW</w:t>
            </w:r>
          </w:p>
        </w:tc>
      </w:tr>
      <w:tr w:rsidR="001F1B70">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Characteristic performance (e.g. energy efficiency, variation of performance with capacity utilization)</w:t>
            </w:r>
          </w:p>
        </w:tc>
        <w:tc>
          <w:tcPr>
            <w:tcW w:w="720" w:type="dxa"/>
            <w:tcBorders>
              <w:top w:val="single" w:sz="4" w:space="0" w:color="000000"/>
              <w:left w:val="single" w:sz="4" w:space="0" w:color="000000"/>
              <w:bottom w:val="single" w:sz="4" w:space="0" w:color="000000"/>
              <w:right w:val="single" w:sz="4" w:space="0" w:color="000000"/>
            </w:tcBorders>
            <w:vAlign w:val="center"/>
          </w:tcPr>
          <w:p w:rsidR="001F1B70" w:rsidRDefault="001F1B70"/>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221"/>
              <w:jc w:val="center"/>
              <w:rPr>
                <w:sz w:val="16"/>
                <w:szCs w:val="16"/>
              </w:rPr>
            </w:pPr>
            <w:r>
              <w:rPr>
                <w:sz w:val="16"/>
                <w:szCs w:val="16"/>
              </w:rPr>
              <w:t>Units as appropriate</w:t>
            </w:r>
          </w:p>
        </w:tc>
      </w:tr>
      <w:tr w:rsidR="001F1B70">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Direct emissions to ambient air, soil and water</w:t>
            </w:r>
          </w:p>
        </w:tc>
        <w:tc>
          <w:tcPr>
            <w:tcW w:w="720" w:type="dxa"/>
            <w:tcBorders>
              <w:top w:val="single" w:sz="4" w:space="0" w:color="000000"/>
              <w:left w:val="single" w:sz="4" w:space="0" w:color="000000"/>
              <w:bottom w:val="single" w:sz="4" w:space="0" w:color="000000"/>
              <w:right w:val="single" w:sz="4" w:space="0" w:color="000000"/>
            </w:tcBorders>
            <w:vAlign w:val="center"/>
          </w:tcPr>
          <w:p w:rsidR="001F1B70" w:rsidRDefault="001F1B70"/>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221"/>
              <w:jc w:val="center"/>
              <w:rPr>
                <w:sz w:val="16"/>
                <w:szCs w:val="16"/>
              </w:rPr>
            </w:pPr>
            <w:r>
              <w:rPr>
                <w:sz w:val="16"/>
                <w:szCs w:val="16"/>
              </w:rPr>
              <w:t>kg</w:t>
            </w:r>
          </w:p>
        </w:tc>
      </w:tr>
      <w:tr w:rsidR="001F1B70">
        <w:trPr>
          <w:trHeight w:val="200"/>
        </w:trPr>
        <w:tc>
          <w:tcPr>
            <w:tcW w:w="414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Further assumptions for scenario development (e.g. frequency and time period of use, number of occupants);</w:t>
            </w:r>
          </w:p>
        </w:tc>
        <w:tc>
          <w:tcPr>
            <w:tcW w:w="720" w:type="dxa"/>
            <w:tcBorders>
              <w:top w:val="single" w:sz="4" w:space="0" w:color="000000"/>
              <w:left w:val="single" w:sz="4" w:space="0" w:color="000000"/>
              <w:bottom w:val="single" w:sz="4" w:space="0" w:color="000000"/>
              <w:right w:val="single" w:sz="4" w:space="0" w:color="000000"/>
            </w:tcBorders>
            <w:vAlign w:val="center"/>
          </w:tcPr>
          <w:p w:rsidR="001F1B70" w:rsidRDefault="001F1B70"/>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ind w:left="221"/>
              <w:jc w:val="center"/>
              <w:rPr>
                <w:sz w:val="16"/>
                <w:szCs w:val="16"/>
              </w:rPr>
            </w:pPr>
            <w:r>
              <w:rPr>
                <w:sz w:val="16"/>
                <w:szCs w:val="16"/>
              </w:rPr>
              <w:t>As appropriate</w:t>
            </w:r>
          </w:p>
        </w:tc>
      </w:tr>
    </w:tbl>
    <w:p w:rsidR="001F1B70" w:rsidRDefault="00D67CA6">
      <w:pPr>
        <w:keepNext/>
        <w:keepLines/>
        <w:numPr>
          <w:ilvl w:val="1"/>
          <w:numId w:val="14"/>
        </w:numPr>
        <w:pBdr>
          <w:top w:val="none" w:sz="0" w:space="0" w:color="000000"/>
          <w:left w:val="none" w:sz="0" w:space="0" w:color="000000"/>
          <w:bottom w:val="none" w:sz="0" w:space="0" w:color="000000"/>
          <w:right w:val="none" w:sz="0" w:space="0" w:color="000000"/>
          <w:between w:val="none" w:sz="0" w:space="0" w:color="000000"/>
        </w:pBdr>
        <w:spacing w:before="240" w:after="162" w:line="259" w:lineRule="auto"/>
        <w:ind w:left="619" w:hanging="619"/>
      </w:pPr>
      <w:r>
        <w:rPr>
          <w:rFonts w:ascii="Calibri" w:eastAsia="Calibri" w:hAnsi="Calibri" w:cs="Calibri"/>
          <w:b/>
          <w:smallCaps/>
          <w:color w:val="000000"/>
          <w:sz w:val="22"/>
          <w:szCs w:val="22"/>
        </w:rPr>
        <w:t>Disposal</w:t>
      </w:r>
    </w:p>
    <w:p w:rsidR="001F1B70" w:rsidRDefault="00D67CA6">
      <w:r>
        <w:t>The possible disposal channels shall be indicated in accordance with disposal routes and waste classification referenced in Part A, Section 2.8.5 and 2.8.6.</w:t>
      </w:r>
    </w:p>
    <w:p w:rsidR="001F1B70" w:rsidRDefault="00D67CA6">
      <w:pPr>
        <w:pStyle w:val="Subtitle"/>
      </w:pPr>
      <w:r>
        <w:t>Table 13. End of life (C1-C4)</w:t>
      </w:r>
    </w:p>
    <w:tbl>
      <w:tblPr>
        <w:tblStyle w:val="ae"/>
        <w:tblW w:w="6039" w:type="dxa"/>
        <w:tblInd w:w="-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169"/>
        <w:gridCol w:w="2070"/>
        <w:gridCol w:w="630"/>
        <w:gridCol w:w="1170"/>
      </w:tblGrid>
      <w:tr w:rsidR="001F1B70">
        <w:trPr>
          <w:trHeight w:val="180"/>
        </w:trPr>
        <w:tc>
          <w:tcPr>
            <w:tcW w:w="2169"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keepNext/>
              <w:keepLines/>
              <w:spacing w:line="259" w:lineRule="auto"/>
            </w:pPr>
            <w:r>
              <w:rPr>
                <w:b/>
                <w:sz w:val="16"/>
                <w:szCs w:val="16"/>
              </w:rPr>
              <w:t>Name</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1F1B70">
            <w:pPr>
              <w:keepNext/>
              <w:keepLines/>
              <w:spacing w:line="259" w:lineRule="auto"/>
              <w:ind w:left="137"/>
              <w:rPr>
                <w:b/>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keepNext/>
              <w:keepLines/>
              <w:spacing w:line="259" w:lineRule="auto"/>
              <w:ind w:left="137"/>
            </w:pPr>
            <w:r>
              <w:rPr>
                <w:b/>
                <w:sz w:val="16"/>
                <w:szCs w:val="16"/>
              </w:rPr>
              <w:t>Value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keepNext/>
              <w:keepLines/>
              <w:spacing w:line="259" w:lineRule="auto"/>
              <w:ind w:left="52"/>
              <w:jc w:val="center"/>
            </w:pPr>
            <w:r>
              <w:rPr>
                <w:b/>
                <w:sz w:val="16"/>
                <w:szCs w:val="16"/>
              </w:rPr>
              <w:t>Unit</w:t>
            </w:r>
          </w:p>
        </w:tc>
      </w:tr>
      <w:tr w:rsidR="001F1B70">
        <w:trPr>
          <w:trHeight w:val="200"/>
        </w:trPr>
        <w:tc>
          <w:tcPr>
            <w:tcW w:w="2169" w:type="dxa"/>
            <w:tcBorders>
              <w:top w:val="single" w:sz="4" w:space="0" w:color="000000"/>
              <w:left w:val="single" w:sz="4" w:space="0" w:color="000000"/>
              <w:bottom w:val="single" w:sz="4" w:space="0" w:color="000000"/>
              <w:right w:val="single" w:sz="4" w:space="0" w:color="000000"/>
            </w:tcBorders>
            <w:vAlign w:val="center"/>
          </w:tcPr>
          <w:p w:rsidR="001F1B70" w:rsidRDefault="00D67CA6">
            <w:pPr>
              <w:keepNext/>
              <w:keepLines/>
              <w:rPr>
                <w:sz w:val="16"/>
                <w:szCs w:val="16"/>
              </w:rPr>
            </w:pPr>
            <w:r>
              <w:rPr>
                <w:sz w:val="16"/>
                <w:szCs w:val="16"/>
              </w:rPr>
              <w:t xml:space="preserve">Assumptions for scenario development (description of deconstruction, collection, recovery, disposal method and transportation) </w:t>
            </w:r>
          </w:p>
        </w:tc>
        <w:tc>
          <w:tcPr>
            <w:tcW w:w="2070" w:type="dxa"/>
            <w:tcBorders>
              <w:top w:val="single" w:sz="4" w:space="0" w:color="000000"/>
              <w:left w:val="single" w:sz="4" w:space="0" w:color="000000"/>
              <w:bottom w:val="single" w:sz="4" w:space="0" w:color="000000"/>
              <w:right w:val="single" w:sz="4" w:space="0" w:color="000000"/>
            </w:tcBorders>
          </w:tcPr>
          <w:p w:rsidR="001F1B70" w:rsidRDefault="001F1B70">
            <w:pPr>
              <w:keepNext/>
              <w:keepLines/>
            </w:pPr>
          </w:p>
        </w:tc>
        <w:tc>
          <w:tcPr>
            <w:tcW w:w="630" w:type="dxa"/>
            <w:tcBorders>
              <w:top w:val="single" w:sz="4" w:space="0" w:color="000000"/>
              <w:left w:val="single" w:sz="4" w:space="0" w:color="000000"/>
              <w:bottom w:val="single" w:sz="4" w:space="0" w:color="000000"/>
              <w:right w:val="single" w:sz="4" w:space="0" w:color="000000"/>
            </w:tcBorders>
          </w:tcPr>
          <w:p w:rsidR="001F1B70" w:rsidRDefault="001F1B70">
            <w:pPr>
              <w:keepNext/>
              <w:keepLines/>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1F1B70">
            <w:pPr>
              <w:keepNext/>
              <w:keepLines/>
              <w:ind w:left="113"/>
              <w:jc w:val="center"/>
              <w:rPr>
                <w:sz w:val="16"/>
                <w:szCs w:val="16"/>
              </w:rPr>
            </w:pPr>
          </w:p>
        </w:tc>
      </w:tr>
      <w:tr w:rsidR="001F1B70">
        <w:trPr>
          <w:trHeight w:val="200"/>
        </w:trPr>
        <w:tc>
          <w:tcPr>
            <w:tcW w:w="2169" w:type="dxa"/>
            <w:vMerge w:val="restart"/>
            <w:tcBorders>
              <w:top w:val="single" w:sz="4" w:space="0" w:color="000000"/>
              <w:left w:val="single" w:sz="4" w:space="0" w:color="000000"/>
              <w:right w:val="single" w:sz="4" w:space="0" w:color="000000"/>
            </w:tcBorders>
            <w:vAlign w:val="center"/>
          </w:tcPr>
          <w:p w:rsidR="001F1B70" w:rsidRDefault="00D67CA6">
            <w:pPr>
              <w:rPr>
                <w:sz w:val="16"/>
                <w:szCs w:val="16"/>
              </w:rPr>
            </w:pPr>
            <w:r>
              <w:rPr>
                <w:sz w:val="16"/>
                <w:szCs w:val="16"/>
              </w:rPr>
              <w:t>Collection process (specified by type)</w:t>
            </w:r>
          </w:p>
        </w:tc>
        <w:tc>
          <w:tcPr>
            <w:tcW w:w="2070" w:type="dxa"/>
            <w:tcBorders>
              <w:top w:val="single" w:sz="4" w:space="0" w:color="000000"/>
              <w:left w:val="single" w:sz="4" w:space="0" w:color="000000"/>
              <w:bottom w:val="single" w:sz="4" w:space="0" w:color="000000"/>
              <w:right w:val="single" w:sz="4" w:space="0" w:color="000000"/>
            </w:tcBorders>
          </w:tcPr>
          <w:p w:rsidR="001F1B70" w:rsidRDefault="00D67CA6">
            <w:r>
              <w:rPr>
                <w:sz w:val="16"/>
                <w:szCs w:val="16"/>
              </w:rPr>
              <w:t>Collected separately</w:t>
            </w:r>
          </w:p>
        </w:tc>
        <w:tc>
          <w:tcPr>
            <w:tcW w:w="630" w:type="dxa"/>
            <w:tcBorders>
              <w:top w:val="single" w:sz="4" w:space="0" w:color="000000"/>
              <w:left w:val="single" w:sz="4" w:space="0" w:color="000000"/>
              <w:bottom w:val="single" w:sz="4" w:space="0" w:color="000000"/>
              <w:right w:val="single" w:sz="4" w:space="0" w:color="000000"/>
            </w:tcBorders>
          </w:tcPr>
          <w:p w:rsidR="001F1B70" w:rsidRDefault="001F1B70"/>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kg</w:t>
            </w:r>
          </w:p>
        </w:tc>
      </w:tr>
      <w:tr w:rsidR="001F1B70">
        <w:trPr>
          <w:trHeight w:val="200"/>
        </w:trPr>
        <w:tc>
          <w:tcPr>
            <w:tcW w:w="2169" w:type="dxa"/>
            <w:vMerge/>
            <w:tcBorders>
              <w:top w:val="single" w:sz="4" w:space="0" w:color="000000"/>
              <w:left w:val="single" w:sz="4" w:space="0" w:color="000000"/>
              <w:right w:val="single" w:sz="4" w:space="0" w:color="000000"/>
            </w:tcBorders>
            <w:vAlign w:val="center"/>
          </w:tcPr>
          <w:p w:rsidR="001F1B70" w:rsidRDefault="001F1B70">
            <w:pPr>
              <w:widowControl w:val="0"/>
              <w:pBdr>
                <w:top w:val="nil"/>
                <w:left w:val="nil"/>
                <w:bottom w:val="nil"/>
                <w:right w:val="nil"/>
                <w:between w:val="nil"/>
              </w:pBdr>
              <w:spacing w:line="276" w:lineRule="auto"/>
              <w:rPr>
                <w:sz w:val="16"/>
                <w:szCs w:val="16"/>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Collected with mixed construction waste</w:t>
            </w:r>
          </w:p>
        </w:tc>
        <w:tc>
          <w:tcPr>
            <w:tcW w:w="630" w:type="dxa"/>
            <w:tcBorders>
              <w:top w:val="single" w:sz="4" w:space="0" w:color="000000"/>
              <w:left w:val="single" w:sz="4" w:space="0" w:color="000000"/>
              <w:bottom w:val="single" w:sz="4" w:space="0" w:color="000000"/>
              <w:right w:val="single" w:sz="4" w:space="0" w:color="000000"/>
            </w:tcBorders>
          </w:tcPr>
          <w:p w:rsidR="001F1B70" w:rsidRDefault="001F1B70"/>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kg</w:t>
            </w:r>
          </w:p>
        </w:tc>
      </w:tr>
      <w:tr w:rsidR="001F1B70">
        <w:trPr>
          <w:trHeight w:val="200"/>
        </w:trPr>
        <w:tc>
          <w:tcPr>
            <w:tcW w:w="2169" w:type="dxa"/>
            <w:vMerge w:val="restart"/>
            <w:tcBorders>
              <w:top w:val="single" w:sz="4" w:space="0" w:color="000000"/>
              <w:left w:val="single" w:sz="4" w:space="0" w:color="000000"/>
              <w:right w:val="single" w:sz="4" w:space="0" w:color="000000"/>
            </w:tcBorders>
            <w:vAlign w:val="center"/>
          </w:tcPr>
          <w:p w:rsidR="001F1B70" w:rsidRDefault="00D67CA6">
            <w:pPr>
              <w:rPr>
                <w:sz w:val="16"/>
                <w:szCs w:val="16"/>
              </w:rPr>
            </w:pPr>
            <w:r>
              <w:rPr>
                <w:sz w:val="16"/>
                <w:szCs w:val="16"/>
              </w:rPr>
              <w:t>Recovery (specified by type)</w:t>
            </w:r>
          </w:p>
        </w:tc>
        <w:tc>
          <w:tcPr>
            <w:tcW w:w="2070"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Reuse</w:t>
            </w:r>
          </w:p>
        </w:tc>
        <w:tc>
          <w:tcPr>
            <w:tcW w:w="630" w:type="dxa"/>
            <w:tcBorders>
              <w:top w:val="single" w:sz="4" w:space="0" w:color="000000"/>
              <w:left w:val="single" w:sz="4" w:space="0" w:color="000000"/>
              <w:bottom w:val="single" w:sz="4" w:space="0" w:color="000000"/>
              <w:right w:val="single" w:sz="4" w:space="0" w:color="000000"/>
            </w:tcBorders>
          </w:tcPr>
          <w:p w:rsidR="001F1B70" w:rsidRDefault="001F1B70"/>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kg</w:t>
            </w:r>
          </w:p>
        </w:tc>
      </w:tr>
      <w:tr w:rsidR="001F1B70">
        <w:trPr>
          <w:trHeight w:val="200"/>
        </w:trPr>
        <w:tc>
          <w:tcPr>
            <w:tcW w:w="2169" w:type="dxa"/>
            <w:vMerge/>
            <w:tcBorders>
              <w:top w:val="single" w:sz="4" w:space="0" w:color="000000"/>
              <w:left w:val="single" w:sz="4" w:space="0" w:color="000000"/>
              <w:right w:val="single" w:sz="4" w:space="0" w:color="000000"/>
            </w:tcBorders>
            <w:vAlign w:val="center"/>
          </w:tcPr>
          <w:p w:rsidR="001F1B70" w:rsidRDefault="001F1B70">
            <w:pPr>
              <w:widowControl w:val="0"/>
              <w:pBdr>
                <w:top w:val="nil"/>
                <w:left w:val="nil"/>
                <w:bottom w:val="nil"/>
                <w:right w:val="nil"/>
                <w:between w:val="nil"/>
              </w:pBdr>
              <w:spacing w:line="276" w:lineRule="auto"/>
              <w:rPr>
                <w:sz w:val="16"/>
                <w:szCs w:val="16"/>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Recycling</w:t>
            </w:r>
          </w:p>
        </w:tc>
        <w:tc>
          <w:tcPr>
            <w:tcW w:w="630" w:type="dxa"/>
            <w:tcBorders>
              <w:top w:val="single" w:sz="4" w:space="0" w:color="000000"/>
              <w:left w:val="single" w:sz="4" w:space="0" w:color="000000"/>
              <w:bottom w:val="single" w:sz="4" w:space="0" w:color="000000"/>
              <w:right w:val="single" w:sz="4" w:space="0" w:color="000000"/>
            </w:tcBorders>
          </w:tcPr>
          <w:p w:rsidR="001F1B70" w:rsidRDefault="001F1B70"/>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 xml:space="preserve">kg </w:t>
            </w:r>
          </w:p>
        </w:tc>
      </w:tr>
      <w:tr w:rsidR="001F1B70">
        <w:trPr>
          <w:trHeight w:val="200"/>
        </w:trPr>
        <w:tc>
          <w:tcPr>
            <w:tcW w:w="2169" w:type="dxa"/>
            <w:vMerge/>
            <w:tcBorders>
              <w:top w:val="single" w:sz="4" w:space="0" w:color="000000"/>
              <w:left w:val="single" w:sz="4" w:space="0" w:color="000000"/>
              <w:right w:val="single" w:sz="4" w:space="0" w:color="000000"/>
            </w:tcBorders>
            <w:vAlign w:val="center"/>
          </w:tcPr>
          <w:p w:rsidR="001F1B70" w:rsidRDefault="001F1B70">
            <w:pPr>
              <w:widowControl w:val="0"/>
              <w:pBdr>
                <w:top w:val="nil"/>
                <w:left w:val="nil"/>
                <w:bottom w:val="nil"/>
                <w:right w:val="nil"/>
                <w:between w:val="nil"/>
              </w:pBdr>
              <w:spacing w:line="276" w:lineRule="auto"/>
              <w:rPr>
                <w:sz w:val="16"/>
                <w:szCs w:val="16"/>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Landfill</w:t>
            </w:r>
          </w:p>
        </w:tc>
        <w:tc>
          <w:tcPr>
            <w:tcW w:w="630" w:type="dxa"/>
            <w:tcBorders>
              <w:top w:val="single" w:sz="4" w:space="0" w:color="000000"/>
              <w:left w:val="single" w:sz="4" w:space="0" w:color="000000"/>
              <w:bottom w:val="single" w:sz="4" w:space="0" w:color="000000"/>
              <w:right w:val="single" w:sz="4" w:space="0" w:color="000000"/>
            </w:tcBorders>
          </w:tcPr>
          <w:p w:rsidR="001F1B70" w:rsidRDefault="001F1B70"/>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kg</w:t>
            </w:r>
          </w:p>
        </w:tc>
      </w:tr>
      <w:tr w:rsidR="001F1B70">
        <w:trPr>
          <w:trHeight w:val="200"/>
        </w:trPr>
        <w:tc>
          <w:tcPr>
            <w:tcW w:w="2169" w:type="dxa"/>
            <w:vMerge/>
            <w:tcBorders>
              <w:top w:val="single" w:sz="4" w:space="0" w:color="000000"/>
              <w:left w:val="single" w:sz="4" w:space="0" w:color="000000"/>
              <w:right w:val="single" w:sz="4" w:space="0" w:color="000000"/>
            </w:tcBorders>
            <w:vAlign w:val="center"/>
          </w:tcPr>
          <w:p w:rsidR="001F1B70" w:rsidRDefault="001F1B70">
            <w:pPr>
              <w:widowControl w:val="0"/>
              <w:pBdr>
                <w:top w:val="nil"/>
                <w:left w:val="nil"/>
                <w:bottom w:val="nil"/>
                <w:right w:val="nil"/>
                <w:between w:val="nil"/>
              </w:pBdr>
              <w:spacing w:line="276" w:lineRule="auto"/>
              <w:rPr>
                <w:sz w:val="16"/>
                <w:szCs w:val="16"/>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 xml:space="preserve">Incineration </w:t>
            </w:r>
          </w:p>
        </w:tc>
        <w:tc>
          <w:tcPr>
            <w:tcW w:w="630" w:type="dxa"/>
            <w:tcBorders>
              <w:top w:val="single" w:sz="4" w:space="0" w:color="000000"/>
              <w:left w:val="single" w:sz="4" w:space="0" w:color="000000"/>
              <w:bottom w:val="single" w:sz="4" w:space="0" w:color="000000"/>
              <w:right w:val="single" w:sz="4" w:space="0" w:color="000000"/>
            </w:tcBorders>
          </w:tcPr>
          <w:p w:rsidR="001F1B70" w:rsidRDefault="001F1B70"/>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kg</w:t>
            </w:r>
          </w:p>
        </w:tc>
      </w:tr>
      <w:tr w:rsidR="001F1B70">
        <w:trPr>
          <w:trHeight w:val="100"/>
        </w:trPr>
        <w:tc>
          <w:tcPr>
            <w:tcW w:w="2169" w:type="dxa"/>
            <w:vMerge/>
            <w:tcBorders>
              <w:top w:val="single" w:sz="4" w:space="0" w:color="000000"/>
              <w:left w:val="single" w:sz="4" w:space="0" w:color="000000"/>
              <w:right w:val="single" w:sz="4" w:space="0" w:color="000000"/>
            </w:tcBorders>
            <w:vAlign w:val="center"/>
          </w:tcPr>
          <w:p w:rsidR="001F1B70" w:rsidRDefault="001F1B70">
            <w:pPr>
              <w:widowControl w:val="0"/>
              <w:pBdr>
                <w:top w:val="nil"/>
                <w:left w:val="nil"/>
                <w:bottom w:val="nil"/>
                <w:right w:val="nil"/>
                <w:between w:val="nil"/>
              </w:pBdr>
              <w:spacing w:line="276" w:lineRule="auto"/>
              <w:rPr>
                <w:sz w:val="16"/>
                <w:szCs w:val="16"/>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 xml:space="preserve">Incineration with energy recovery </w:t>
            </w:r>
          </w:p>
        </w:tc>
        <w:tc>
          <w:tcPr>
            <w:tcW w:w="630" w:type="dxa"/>
            <w:tcBorders>
              <w:top w:val="single" w:sz="4" w:space="0" w:color="000000"/>
              <w:left w:val="single" w:sz="4" w:space="0" w:color="000000"/>
              <w:bottom w:val="single" w:sz="4" w:space="0" w:color="000000"/>
              <w:right w:val="single" w:sz="4" w:space="0" w:color="000000"/>
            </w:tcBorders>
          </w:tcPr>
          <w:p w:rsidR="001F1B70" w:rsidRDefault="001F1B70"/>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kg</w:t>
            </w:r>
          </w:p>
        </w:tc>
      </w:tr>
      <w:tr w:rsidR="001F1B70">
        <w:trPr>
          <w:trHeight w:val="100"/>
        </w:trPr>
        <w:tc>
          <w:tcPr>
            <w:tcW w:w="2169" w:type="dxa"/>
            <w:vMerge/>
            <w:tcBorders>
              <w:top w:val="single" w:sz="4" w:space="0" w:color="000000"/>
              <w:left w:val="single" w:sz="4" w:space="0" w:color="000000"/>
              <w:right w:val="single" w:sz="4" w:space="0" w:color="000000"/>
            </w:tcBorders>
            <w:vAlign w:val="center"/>
          </w:tcPr>
          <w:p w:rsidR="001F1B70" w:rsidRDefault="001F1B70">
            <w:pPr>
              <w:widowControl w:val="0"/>
              <w:pBdr>
                <w:top w:val="nil"/>
                <w:left w:val="nil"/>
                <w:bottom w:val="nil"/>
                <w:right w:val="nil"/>
                <w:between w:val="nil"/>
              </w:pBdr>
              <w:spacing w:line="276" w:lineRule="auto"/>
              <w:rPr>
                <w:sz w:val="16"/>
                <w:szCs w:val="16"/>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1F1B70" w:rsidRDefault="00D67CA6">
            <w:r>
              <w:rPr>
                <w:sz w:val="16"/>
                <w:szCs w:val="16"/>
              </w:rPr>
              <w:t>Energy conversion (specify efficiency rate)</w:t>
            </w:r>
          </w:p>
        </w:tc>
        <w:tc>
          <w:tcPr>
            <w:tcW w:w="630" w:type="dxa"/>
            <w:tcBorders>
              <w:top w:val="single" w:sz="4" w:space="0" w:color="000000"/>
              <w:left w:val="single" w:sz="4" w:space="0" w:color="000000"/>
              <w:bottom w:val="single" w:sz="4" w:space="0" w:color="000000"/>
              <w:right w:val="single" w:sz="4" w:space="0" w:color="000000"/>
            </w:tcBorders>
          </w:tcPr>
          <w:p w:rsidR="001F1B70" w:rsidRDefault="001F1B70"/>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1F1B70">
            <w:pPr>
              <w:ind w:left="113"/>
              <w:jc w:val="center"/>
              <w:rPr>
                <w:sz w:val="16"/>
                <w:szCs w:val="16"/>
              </w:rPr>
            </w:pPr>
          </w:p>
        </w:tc>
      </w:tr>
      <w:tr w:rsidR="001F1B70">
        <w:trPr>
          <w:trHeight w:val="100"/>
        </w:trPr>
        <w:tc>
          <w:tcPr>
            <w:tcW w:w="2169"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Disposal (specified by type)</w:t>
            </w:r>
          </w:p>
        </w:tc>
        <w:tc>
          <w:tcPr>
            <w:tcW w:w="2070" w:type="dxa"/>
            <w:tcBorders>
              <w:top w:val="single" w:sz="4" w:space="0" w:color="000000"/>
              <w:left w:val="single" w:sz="4" w:space="0" w:color="000000"/>
              <w:bottom w:val="single" w:sz="4" w:space="0" w:color="000000"/>
              <w:right w:val="single" w:sz="4" w:space="0" w:color="000000"/>
            </w:tcBorders>
            <w:vAlign w:val="center"/>
          </w:tcPr>
          <w:p w:rsidR="001F1B70" w:rsidRDefault="00D67CA6">
            <w:pPr>
              <w:rPr>
                <w:sz w:val="16"/>
                <w:szCs w:val="16"/>
              </w:rPr>
            </w:pPr>
            <w:r>
              <w:rPr>
                <w:sz w:val="16"/>
                <w:szCs w:val="16"/>
              </w:rPr>
              <w:t>Product or material for final deposition</w:t>
            </w:r>
          </w:p>
        </w:tc>
        <w:tc>
          <w:tcPr>
            <w:tcW w:w="630" w:type="dxa"/>
            <w:tcBorders>
              <w:top w:val="single" w:sz="4" w:space="0" w:color="000000"/>
              <w:left w:val="single" w:sz="4" w:space="0" w:color="000000"/>
              <w:bottom w:val="single" w:sz="4" w:space="0" w:color="000000"/>
              <w:right w:val="single" w:sz="4" w:space="0" w:color="000000"/>
            </w:tcBorders>
          </w:tcPr>
          <w:p w:rsidR="001F1B70" w:rsidRDefault="001F1B70"/>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kg</w:t>
            </w:r>
          </w:p>
        </w:tc>
      </w:tr>
      <w:tr w:rsidR="001F1B70">
        <w:trPr>
          <w:trHeight w:val="100"/>
        </w:trPr>
        <w:tc>
          <w:tcPr>
            <w:tcW w:w="4239" w:type="dxa"/>
            <w:gridSpan w:val="2"/>
            <w:tcBorders>
              <w:top w:val="single" w:sz="4" w:space="0" w:color="000000"/>
              <w:left w:val="single" w:sz="4" w:space="0" w:color="000000"/>
              <w:bottom w:val="single" w:sz="4" w:space="0" w:color="000000"/>
              <w:right w:val="single" w:sz="4" w:space="0" w:color="000000"/>
            </w:tcBorders>
            <w:vAlign w:val="center"/>
          </w:tcPr>
          <w:p w:rsidR="001F1B70" w:rsidRDefault="00D67CA6">
            <w:r>
              <w:rPr>
                <w:sz w:val="16"/>
                <w:szCs w:val="16"/>
              </w:rPr>
              <w:t>Removals of biogenic carbon (excluding packaging)</w:t>
            </w:r>
            <w:r>
              <w:rPr>
                <w:sz w:val="16"/>
                <w:szCs w:val="16"/>
                <w:vertAlign w:val="superscript"/>
              </w:rPr>
              <w:footnoteReference w:id="4"/>
            </w:r>
          </w:p>
        </w:tc>
        <w:tc>
          <w:tcPr>
            <w:tcW w:w="630" w:type="dxa"/>
            <w:tcBorders>
              <w:top w:val="single" w:sz="4" w:space="0" w:color="000000"/>
              <w:left w:val="single" w:sz="4" w:space="0" w:color="000000"/>
              <w:bottom w:val="single" w:sz="4" w:space="0" w:color="000000"/>
              <w:right w:val="single" w:sz="4" w:space="0" w:color="000000"/>
            </w:tcBorders>
            <w:vAlign w:val="center"/>
          </w:tcPr>
          <w:p w:rsidR="001F1B70" w:rsidRDefault="001F1B70">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rsidR="001F1B70" w:rsidRDefault="00D67CA6">
            <w:pPr>
              <w:jc w:val="center"/>
              <w:rPr>
                <w:sz w:val="16"/>
                <w:szCs w:val="16"/>
              </w:rPr>
            </w:pPr>
            <w:r>
              <w:rPr>
                <w:sz w:val="16"/>
                <w:szCs w:val="16"/>
              </w:rPr>
              <w:t>kg CO</w:t>
            </w:r>
            <w:r>
              <w:rPr>
                <w:sz w:val="16"/>
                <w:szCs w:val="16"/>
                <w:vertAlign w:val="subscript"/>
              </w:rPr>
              <w:t>2</w:t>
            </w:r>
          </w:p>
        </w:tc>
      </w:tr>
    </w:tbl>
    <w:p w:rsidR="001F1B70" w:rsidRDefault="00D67CA6">
      <w:pPr>
        <w:keepNext/>
        <w:keepLines/>
        <w:numPr>
          <w:ilvl w:val="1"/>
          <w:numId w:val="14"/>
        </w:numPr>
        <w:pBdr>
          <w:top w:val="none" w:sz="0" w:space="0" w:color="000000"/>
          <w:left w:val="none" w:sz="0" w:space="0" w:color="000000"/>
          <w:bottom w:val="none" w:sz="0" w:space="0" w:color="000000"/>
          <w:right w:val="none" w:sz="0" w:space="0" w:color="000000"/>
          <w:between w:val="none" w:sz="0" w:space="0" w:color="000000"/>
        </w:pBdr>
        <w:spacing w:before="240" w:after="162" w:line="259" w:lineRule="auto"/>
        <w:ind w:left="619" w:hanging="619"/>
      </w:pPr>
      <w:r>
        <w:rPr>
          <w:rFonts w:ascii="Calibri" w:eastAsia="Calibri" w:hAnsi="Calibri" w:cs="Calibri"/>
          <w:b/>
          <w:smallCaps/>
          <w:color w:val="000000"/>
          <w:sz w:val="22"/>
          <w:szCs w:val="22"/>
        </w:rPr>
        <w:t>Re-use phase</w:t>
      </w:r>
    </w:p>
    <w:p w:rsidR="001F1B70" w:rsidRDefault="00D67CA6">
      <w:r>
        <w:t>The possibilities of re-use, recycling and energy recovery shall be described.</w:t>
      </w:r>
    </w:p>
    <w:p w:rsidR="001F1B70" w:rsidRDefault="00D67CA6">
      <w:pPr>
        <w:pStyle w:val="Subtitle"/>
      </w:pPr>
      <w:r>
        <w:t>Table 14. Reuse, recovery and/or recycling potentials (D), relevant scenario information</w:t>
      </w:r>
    </w:p>
    <w:tbl>
      <w:tblPr>
        <w:tblStyle w:val="af"/>
        <w:tblW w:w="6039" w:type="dxa"/>
        <w:tblInd w:w="-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29"/>
        <w:gridCol w:w="630"/>
        <w:gridCol w:w="1080"/>
      </w:tblGrid>
      <w:tr w:rsidR="001F1B70">
        <w:trPr>
          <w:trHeight w:val="180"/>
        </w:trPr>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9" w:lineRule="auto"/>
            </w:pPr>
            <w:r>
              <w:rPr>
                <w:b/>
                <w:sz w:val="16"/>
                <w:szCs w:val="16"/>
              </w:rPr>
              <w:t>Name</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9" w:lineRule="auto"/>
              <w:ind w:left="137"/>
            </w:pPr>
            <w:r>
              <w:rPr>
                <w:b/>
                <w:sz w:val="16"/>
                <w:szCs w:val="16"/>
              </w:rPr>
              <w:t>Value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F1B70" w:rsidRDefault="00D67CA6">
            <w:pPr>
              <w:spacing w:line="259" w:lineRule="auto"/>
              <w:ind w:left="52"/>
              <w:jc w:val="center"/>
            </w:pPr>
            <w:r>
              <w:rPr>
                <w:b/>
                <w:sz w:val="16"/>
                <w:szCs w:val="16"/>
              </w:rPr>
              <w:t>Unit</w:t>
            </w:r>
          </w:p>
        </w:tc>
      </w:tr>
      <w:tr w:rsidR="001F1B70">
        <w:trPr>
          <w:trHeight w:val="200"/>
        </w:trPr>
        <w:tc>
          <w:tcPr>
            <w:tcW w:w="4329" w:type="dxa"/>
            <w:tcBorders>
              <w:top w:val="single" w:sz="4" w:space="0" w:color="000000"/>
              <w:left w:val="single" w:sz="4" w:space="0" w:color="000000"/>
              <w:bottom w:val="single" w:sz="4" w:space="0" w:color="000000"/>
              <w:right w:val="single" w:sz="4" w:space="0" w:color="000000"/>
            </w:tcBorders>
            <w:vAlign w:val="center"/>
          </w:tcPr>
          <w:p w:rsidR="001F1B70" w:rsidRDefault="00D67CA6">
            <w:pPr>
              <w:spacing w:line="259" w:lineRule="auto"/>
              <w:rPr>
                <w:sz w:val="16"/>
                <w:szCs w:val="16"/>
              </w:rPr>
            </w:pPr>
            <w:r>
              <w:rPr>
                <w:sz w:val="16"/>
                <w:szCs w:val="16"/>
              </w:rPr>
              <w:t>Net energy benefit from energy recovery from waste treatment declared as exported energy in C3 (R&gt;0.6)</w:t>
            </w:r>
          </w:p>
        </w:tc>
        <w:tc>
          <w:tcPr>
            <w:tcW w:w="630" w:type="dxa"/>
            <w:tcBorders>
              <w:top w:val="single" w:sz="4" w:space="0" w:color="000000"/>
              <w:left w:val="single" w:sz="4" w:space="0" w:color="000000"/>
              <w:bottom w:val="single" w:sz="4" w:space="0" w:color="000000"/>
              <w:right w:val="single" w:sz="4" w:space="0" w:color="000000"/>
            </w:tcBorders>
          </w:tcPr>
          <w:p w:rsidR="001F1B70" w:rsidRDefault="001F1B70">
            <w:pPr>
              <w:spacing w:after="160" w:line="259" w:lineRule="auto"/>
            </w:pPr>
          </w:p>
        </w:tc>
        <w:tc>
          <w:tcPr>
            <w:tcW w:w="1080" w:type="dxa"/>
            <w:tcBorders>
              <w:top w:val="single" w:sz="4" w:space="0" w:color="000000"/>
              <w:left w:val="single" w:sz="4" w:space="0" w:color="000000"/>
              <w:bottom w:val="single" w:sz="4" w:space="0" w:color="000000"/>
              <w:right w:val="single" w:sz="4" w:space="0" w:color="000000"/>
            </w:tcBorders>
            <w:vAlign w:val="center"/>
          </w:tcPr>
          <w:p w:rsidR="001F1B70" w:rsidRDefault="00D67CA6">
            <w:pPr>
              <w:spacing w:line="259" w:lineRule="auto"/>
              <w:ind w:left="113"/>
              <w:jc w:val="center"/>
              <w:rPr>
                <w:sz w:val="16"/>
                <w:szCs w:val="16"/>
              </w:rPr>
            </w:pPr>
            <w:r>
              <w:rPr>
                <w:sz w:val="16"/>
                <w:szCs w:val="16"/>
              </w:rPr>
              <w:t>MJ</w:t>
            </w:r>
          </w:p>
        </w:tc>
      </w:tr>
      <w:tr w:rsidR="001F1B70">
        <w:trPr>
          <w:trHeight w:val="200"/>
        </w:trPr>
        <w:tc>
          <w:tcPr>
            <w:tcW w:w="4329" w:type="dxa"/>
            <w:tcBorders>
              <w:top w:val="single" w:sz="4" w:space="0" w:color="000000"/>
              <w:left w:val="single" w:sz="4" w:space="0" w:color="000000"/>
              <w:bottom w:val="single" w:sz="4" w:space="0" w:color="000000"/>
              <w:right w:val="single" w:sz="4" w:space="0" w:color="000000"/>
            </w:tcBorders>
            <w:vAlign w:val="center"/>
          </w:tcPr>
          <w:p w:rsidR="001F1B70" w:rsidRDefault="00D67CA6">
            <w:pPr>
              <w:spacing w:line="259" w:lineRule="auto"/>
              <w:rPr>
                <w:sz w:val="16"/>
                <w:szCs w:val="16"/>
              </w:rPr>
            </w:pPr>
            <w:r>
              <w:rPr>
                <w:sz w:val="16"/>
                <w:szCs w:val="16"/>
              </w:rPr>
              <w:t>Net energy benefit from thermal energy due to treatment of waste declared as exported energy in C4 (R&lt;0.6)</w:t>
            </w:r>
          </w:p>
        </w:tc>
        <w:tc>
          <w:tcPr>
            <w:tcW w:w="630" w:type="dxa"/>
            <w:tcBorders>
              <w:top w:val="single" w:sz="4" w:space="0" w:color="000000"/>
              <w:left w:val="single" w:sz="4" w:space="0" w:color="000000"/>
              <w:bottom w:val="single" w:sz="4" w:space="0" w:color="000000"/>
              <w:right w:val="single" w:sz="4" w:space="0" w:color="000000"/>
            </w:tcBorders>
          </w:tcPr>
          <w:p w:rsidR="001F1B70" w:rsidRDefault="001F1B70">
            <w:pPr>
              <w:spacing w:after="160" w:line="259" w:lineRule="auto"/>
            </w:pPr>
          </w:p>
        </w:tc>
        <w:tc>
          <w:tcPr>
            <w:tcW w:w="1080" w:type="dxa"/>
            <w:tcBorders>
              <w:top w:val="single" w:sz="4" w:space="0" w:color="000000"/>
              <w:left w:val="single" w:sz="4" w:space="0" w:color="000000"/>
              <w:bottom w:val="single" w:sz="4" w:space="0" w:color="000000"/>
              <w:right w:val="single" w:sz="4" w:space="0" w:color="000000"/>
            </w:tcBorders>
            <w:vAlign w:val="center"/>
          </w:tcPr>
          <w:p w:rsidR="001F1B70" w:rsidRDefault="00D67CA6">
            <w:pPr>
              <w:spacing w:line="259" w:lineRule="auto"/>
              <w:ind w:left="113"/>
              <w:jc w:val="center"/>
              <w:rPr>
                <w:sz w:val="16"/>
                <w:szCs w:val="16"/>
              </w:rPr>
            </w:pPr>
            <w:r>
              <w:rPr>
                <w:sz w:val="16"/>
                <w:szCs w:val="16"/>
              </w:rPr>
              <w:t>MJ</w:t>
            </w:r>
          </w:p>
        </w:tc>
      </w:tr>
      <w:tr w:rsidR="001F1B70">
        <w:trPr>
          <w:trHeight w:val="200"/>
        </w:trPr>
        <w:tc>
          <w:tcPr>
            <w:tcW w:w="4329" w:type="dxa"/>
            <w:tcBorders>
              <w:top w:val="single" w:sz="4" w:space="0" w:color="000000"/>
              <w:left w:val="single" w:sz="4" w:space="0" w:color="000000"/>
              <w:bottom w:val="single" w:sz="4" w:space="0" w:color="000000"/>
              <w:right w:val="single" w:sz="4" w:space="0" w:color="000000"/>
            </w:tcBorders>
            <w:vAlign w:val="center"/>
          </w:tcPr>
          <w:p w:rsidR="001F1B70" w:rsidRDefault="00D67CA6">
            <w:pPr>
              <w:spacing w:line="259" w:lineRule="auto"/>
              <w:rPr>
                <w:sz w:val="16"/>
                <w:szCs w:val="16"/>
              </w:rPr>
            </w:pPr>
            <w:r>
              <w:rPr>
                <w:sz w:val="16"/>
                <w:szCs w:val="16"/>
              </w:rPr>
              <w:t>Net energy benefit from material flow declared in C3 for energy recovery</w:t>
            </w:r>
          </w:p>
        </w:tc>
        <w:tc>
          <w:tcPr>
            <w:tcW w:w="630" w:type="dxa"/>
            <w:tcBorders>
              <w:top w:val="single" w:sz="4" w:space="0" w:color="000000"/>
              <w:left w:val="single" w:sz="4" w:space="0" w:color="000000"/>
              <w:bottom w:val="single" w:sz="4" w:space="0" w:color="000000"/>
              <w:right w:val="single" w:sz="4" w:space="0" w:color="000000"/>
            </w:tcBorders>
          </w:tcPr>
          <w:p w:rsidR="001F1B70" w:rsidRDefault="001F1B70">
            <w:pPr>
              <w:spacing w:after="160" w:line="259" w:lineRule="auto"/>
            </w:pPr>
          </w:p>
        </w:tc>
        <w:tc>
          <w:tcPr>
            <w:tcW w:w="1080" w:type="dxa"/>
            <w:tcBorders>
              <w:top w:val="single" w:sz="4" w:space="0" w:color="000000"/>
              <w:left w:val="single" w:sz="4" w:space="0" w:color="000000"/>
              <w:bottom w:val="single" w:sz="4" w:space="0" w:color="000000"/>
              <w:right w:val="single" w:sz="4" w:space="0" w:color="000000"/>
            </w:tcBorders>
            <w:vAlign w:val="center"/>
          </w:tcPr>
          <w:p w:rsidR="001F1B70" w:rsidRDefault="00D67CA6">
            <w:pPr>
              <w:spacing w:line="259" w:lineRule="auto"/>
              <w:ind w:left="113"/>
              <w:jc w:val="center"/>
              <w:rPr>
                <w:sz w:val="16"/>
                <w:szCs w:val="16"/>
              </w:rPr>
            </w:pPr>
            <w:r>
              <w:rPr>
                <w:sz w:val="16"/>
                <w:szCs w:val="16"/>
              </w:rPr>
              <w:t>MJ</w:t>
            </w:r>
          </w:p>
        </w:tc>
      </w:tr>
      <w:tr w:rsidR="001F1B70">
        <w:trPr>
          <w:trHeight w:val="220"/>
        </w:trPr>
        <w:tc>
          <w:tcPr>
            <w:tcW w:w="4329" w:type="dxa"/>
            <w:tcBorders>
              <w:top w:val="single" w:sz="4" w:space="0" w:color="000000"/>
              <w:left w:val="single" w:sz="4" w:space="0" w:color="000000"/>
              <w:bottom w:val="single" w:sz="4" w:space="0" w:color="000000"/>
              <w:right w:val="single" w:sz="4" w:space="0" w:color="000000"/>
            </w:tcBorders>
            <w:vAlign w:val="center"/>
          </w:tcPr>
          <w:p w:rsidR="001F1B70" w:rsidRDefault="00D67CA6">
            <w:pPr>
              <w:spacing w:line="259" w:lineRule="auto"/>
              <w:rPr>
                <w:sz w:val="16"/>
                <w:szCs w:val="16"/>
              </w:rPr>
            </w:pPr>
            <w:r>
              <w:rPr>
                <w:sz w:val="16"/>
                <w:szCs w:val="16"/>
              </w:rPr>
              <w:t>Process and conversion efficiencies</w:t>
            </w:r>
          </w:p>
        </w:tc>
        <w:tc>
          <w:tcPr>
            <w:tcW w:w="1710" w:type="dxa"/>
            <w:gridSpan w:val="2"/>
            <w:tcBorders>
              <w:top w:val="single" w:sz="4" w:space="0" w:color="000000"/>
              <w:left w:val="single" w:sz="4" w:space="0" w:color="000000"/>
              <w:bottom w:val="single" w:sz="4" w:space="0" w:color="000000"/>
              <w:right w:val="single" w:sz="4" w:space="0" w:color="000000"/>
            </w:tcBorders>
          </w:tcPr>
          <w:p w:rsidR="001F1B70" w:rsidRDefault="001F1B70">
            <w:pPr>
              <w:spacing w:after="160" w:line="259" w:lineRule="auto"/>
            </w:pPr>
          </w:p>
        </w:tc>
      </w:tr>
      <w:tr w:rsidR="001F1B70">
        <w:trPr>
          <w:trHeight w:val="220"/>
        </w:trPr>
        <w:tc>
          <w:tcPr>
            <w:tcW w:w="4329" w:type="dxa"/>
            <w:tcBorders>
              <w:top w:val="single" w:sz="4" w:space="0" w:color="000000"/>
              <w:left w:val="single" w:sz="4" w:space="0" w:color="000000"/>
              <w:bottom w:val="single" w:sz="4" w:space="0" w:color="000000"/>
              <w:right w:val="single" w:sz="4" w:space="0" w:color="000000"/>
            </w:tcBorders>
            <w:vAlign w:val="center"/>
          </w:tcPr>
          <w:p w:rsidR="001F1B70" w:rsidRDefault="00D67CA6">
            <w:pPr>
              <w:spacing w:line="259" w:lineRule="auto"/>
              <w:rPr>
                <w:color w:val="000000"/>
                <w:sz w:val="16"/>
                <w:szCs w:val="16"/>
              </w:rPr>
            </w:pPr>
            <w:r>
              <w:rPr>
                <w:sz w:val="16"/>
                <w:szCs w:val="16"/>
              </w:rPr>
              <w:t>Further assumptions for scenario development (e.g. further processing technologies, assumptions on correction factors);</w:t>
            </w:r>
          </w:p>
        </w:tc>
        <w:tc>
          <w:tcPr>
            <w:tcW w:w="1710" w:type="dxa"/>
            <w:gridSpan w:val="2"/>
            <w:tcBorders>
              <w:top w:val="single" w:sz="4" w:space="0" w:color="000000"/>
              <w:left w:val="single" w:sz="4" w:space="0" w:color="000000"/>
              <w:bottom w:val="single" w:sz="4" w:space="0" w:color="000000"/>
              <w:right w:val="single" w:sz="4" w:space="0" w:color="000000"/>
            </w:tcBorders>
          </w:tcPr>
          <w:p w:rsidR="001F1B70" w:rsidRDefault="001F1B70">
            <w:pPr>
              <w:spacing w:after="160" w:line="259" w:lineRule="auto"/>
            </w:pPr>
          </w:p>
        </w:tc>
      </w:tr>
    </w:tbl>
    <w:p w:rsidR="001F1B70" w:rsidRDefault="001F1B70"/>
    <w:p w:rsidR="001F1B70" w:rsidRDefault="001F1B70"/>
    <w:p w:rsidR="001F1B70" w:rsidRDefault="00D67CA6">
      <w:pPr>
        <w:pStyle w:val="Heading1"/>
        <w:numPr>
          <w:ilvl w:val="0"/>
          <w:numId w:val="11"/>
        </w:numPr>
      </w:pPr>
      <w:r>
        <w:t>Environmental Indicators Derived from LCA</w:t>
      </w:r>
    </w:p>
    <w:p w:rsidR="001F1B70" w:rsidRDefault="00D67CA6">
      <w:pPr>
        <w:keepNext/>
        <w:keepLines/>
        <w:numPr>
          <w:ilvl w:val="1"/>
          <w:numId w:val="15"/>
        </w:numPr>
        <w:pBdr>
          <w:top w:val="none" w:sz="0" w:space="0" w:color="000000"/>
          <w:left w:val="none" w:sz="0" w:space="0" w:color="000000"/>
          <w:bottom w:val="none" w:sz="0" w:space="0" w:color="000000"/>
          <w:right w:val="none" w:sz="0" w:space="0" w:color="000000"/>
          <w:between w:val="none" w:sz="0" w:space="0" w:color="000000"/>
        </w:pBdr>
        <w:spacing w:after="162" w:line="259" w:lineRule="auto"/>
        <w:ind w:left="432"/>
      </w:pPr>
      <w:r>
        <w:rPr>
          <w:rFonts w:ascii="Calibri" w:eastAsia="Calibri" w:hAnsi="Calibri" w:cs="Calibri"/>
          <w:b/>
          <w:smallCaps/>
          <w:color w:val="000000"/>
          <w:sz w:val="22"/>
          <w:szCs w:val="22"/>
        </w:rPr>
        <w:t>LCA Results from LCIA</w:t>
      </w:r>
    </w:p>
    <w:p w:rsidR="001F1B70" w:rsidRDefault="00D67CA6">
      <w:pPr>
        <w:ind w:left="-5" w:right="47"/>
      </w:pPr>
      <w:r>
        <w:t>In Table 14, "Description of the system boundary," all declared modules shall be indicated with an "X”.</w:t>
      </w:r>
    </w:p>
    <w:p w:rsidR="001F1B70" w:rsidRDefault="00D67CA6">
      <w:pPr>
        <w:spacing w:line="240" w:lineRule="auto"/>
        <w:ind w:left="-5" w:right="47"/>
      </w:pPr>
      <w:r>
        <w:t>Modules A1, A2, and A3 may be declared as one aggregated module A1-A3.</w:t>
      </w:r>
    </w:p>
    <w:p w:rsidR="001F1B70" w:rsidRDefault="00D67CA6">
      <w:pPr>
        <w:ind w:left="-5" w:right="47"/>
      </w:pPr>
      <w:r>
        <w:t>Per Part A, life cycle impact assessment (LCIA) results shall be declared for each module using scientific notation with three significant digits (e.g. 1.23E-5 = 0.0000123). Uniform formatting shall be used for all indicator values.</w:t>
      </w:r>
    </w:p>
    <w:p w:rsidR="001F1B70" w:rsidRDefault="00D67CA6" w:rsidP="00D67CA6">
      <w:pPr>
        <w:pStyle w:val="ListParagraph"/>
        <w:numPr>
          <w:ilvl w:val="0"/>
          <w:numId w:val="26"/>
        </w:numPr>
        <w:pBdr>
          <w:top w:val="nil"/>
          <w:left w:val="nil"/>
          <w:bottom w:val="nil"/>
          <w:right w:val="nil"/>
          <w:between w:val="nil"/>
        </w:pBdr>
        <w:spacing w:after="0"/>
        <w:ind w:right="47"/>
      </w:pPr>
      <w:r w:rsidRPr="00D67CA6">
        <w:rPr>
          <w:color w:val="000000"/>
        </w:rPr>
        <w:t>North America (Part A, Section 4.7, Table 9, TRACI indicators)</w:t>
      </w:r>
    </w:p>
    <w:p w:rsidR="001F1B70" w:rsidRDefault="00D67CA6" w:rsidP="00D67CA6">
      <w:pPr>
        <w:pStyle w:val="ListParagraph"/>
        <w:numPr>
          <w:ilvl w:val="0"/>
          <w:numId w:val="26"/>
        </w:numPr>
        <w:pBdr>
          <w:top w:val="nil"/>
          <w:left w:val="nil"/>
          <w:bottom w:val="nil"/>
          <w:right w:val="nil"/>
          <w:between w:val="nil"/>
        </w:pBdr>
        <w:spacing w:after="0"/>
        <w:ind w:right="47"/>
      </w:pPr>
      <w:r w:rsidRPr="00D67CA6">
        <w:rPr>
          <w:color w:val="000000"/>
        </w:rPr>
        <w:t xml:space="preserve">EU (Part A, Section 4.8, Table 10, CML indicators) </w:t>
      </w:r>
    </w:p>
    <w:p w:rsidR="001F1B70" w:rsidRDefault="00D67CA6" w:rsidP="00D67CA6">
      <w:pPr>
        <w:pStyle w:val="ListParagraph"/>
        <w:numPr>
          <w:ilvl w:val="0"/>
          <w:numId w:val="26"/>
        </w:numPr>
        <w:pBdr>
          <w:top w:val="nil"/>
          <w:left w:val="nil"/>
          <w:bottom w:val="nil"/>
          <w:right w:val="nil"/>
          <w:between w:val="nil"/>
        </w:pBdr>
        <w:spacing w:after="0"/>
        <w:ind w:right="47"/>
      </w:pPr>
      <w:r w:rsidRPr="00D67CA6">
        <w:rPr>
          <w:color w:val="000000"/>
        </w:rPr>
        <w:t>Rest of World (Part A, Section 4.9, Table 11, indicators as provided)</w:t>
      </w:r>
    </w:p>
    <w:p w:rsidR="001F1B70" w:rsidRDefault="001F1B70">
      <w:pPr>
        <w:pStyle w:val="Subtitle"/>
      </w:pPr>
      <w:bookmarkStart w:id="26" w:name="_2bn6wsx" w:colFirst="0" w:colLast="0"/>
      <w:bookmarkEnd w:id="26"/>
    </w:p>
    <w:p w:rsidR="001F1B70" w:rsidRDefault="00D67CA6">
      <w:pPr>
        <w:pStyle w:val="Subtitle"/>
      </w:pPr>
      <w:r>
        <w:t>Table 15. Description of the System Boundary Modules</w:t>
      </w:r>
      <w:r>
        <w:rPr>
          <w:vertAlign w:val="superscript"/>
        </w:rPr>
        <w:footnoteReference w:id="5"/>
      </w:r>
    </w:p>
    <w:p w:rsidR="001F1B70" w:rsidRDefault="00D67CA6">
      <w:pPr>
        <w:ind w:left="-5" w:right="47"/>
      </w:pPr>
      <w:r>
        <w:rPr>
          <w:noProof/>
        </w:rPr>
        <w:drawing>
          <wp:inline distT="0" distB="0" distL="0" distR="0" wp14:anchorId="378D34DA">
            <wp:extent cx="5998029" cy="3102244"/>
            <wp:effectExtent l="0" t="0" r="317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8559" cy="3107690"/>
                    </a:xfrm>
                    <a:prstGeom prst="rect">
                      <a:avLst/>
                    </a:prstGeom>
                    <a:noFill/>
                  </pic:spPr>
                </pic:pic>
              </a:graphicData>
            </a:graphic>
          </wp:inline>
        </w:drawing>
      </w:r>
    </w:p>
    <w:p w:rsidR="001F1B70" w:rsidRDefault="00D67CA6">
      <w:pPr>
        <w:pStyle w:val="Heading2"/>
        <w:numPr>
          <w:ilvl w:val="1"/>
          <w:numId w:val="15"/>
        </w:numPr>
        <w:ind w:left="720" w:hanging="720"/>
      </w:pPr>
      <w:r>
        <w:t>LCA Results from LCI</w:t>
      </w:r>
    </w:p>
    <w:p w:rsidR="001F1B70" w:rsidRDefault="00D67CA6">
      <w:pPr>
        <w:ind w:left="-5" w:right="47"/>
      </w:pPr>
      <w:r>
        <w:t>Results derived from the product LCI shall be reported as follows:</w:t>
      </w:r>
    </w:p>
    <w:p w:rsidR="001F1B70" w:rsidRDefault="00D67CA6" w:rsidP="00D67CA6">
      <w:pPr>
        <w:pStyle w:val="ListParagraph"/>
        <w:numPr>
          <w:ilvl w:val="0"/>
          <w:numId w:val="27"/>
        </w:numPr>
        <w:pBdr>
          <w:top w:val="nil"/>
          <w:left w:val="nil"/>
          <w:bottom w:val="nil"/>
          <w:right w:val="nil"/>
          <w:between w:val="nil"/>
        </w:pBdr>
        <w:spacing w:after="0"/>
        <w:ind w:right="47"/>
      </w:pPr>
      <w:r w:rsidRPr="00D67CA6">
        <w:rPr>
          <w:color w:val="000000"/>
        </w:rPr>
        <w:t>Resource use indicators (Part A, Section 4.1, Table 6)</w:t>
      </w:r>
    </w:p>
    <w:p w:rsidR="001F1B70" w:rsidRDefault="00D67CA6" w:rsidP="00D67CA6">
      <w:pPr>
        <w:pStyle w:val="ListParagraph"/>
        <w:numPr>
          <w:ilvl w:val="0"/>
          <w:numId w:val="27"/>
        </w:numPr>
        <w:pBdr>
          <w:top w:val="nil"/>
          <w:left w:val="nil"/>
          <w:bottom w:val="nil"/>
          <w:right w:val="nil"/>
          <w:between w:val="nil"/>
        </w:pBdr>
        <w:spacing w:after="0"/>
        <w:ind w:right="47"/>
      </w:pPr>
      <w:r w:rsidRPr="00D67CA6">
        <w:rPr>
          <w:color w:val="000000"/>
        </w:rPr>
        <w:t>Output flows and waste category indicators (Part A, Section 4.1.2, Table 7)</w:t>
      </w:r>
    </w:p>
    <w:p w:rsidR="001F1B70" w:rsidRDefault="00D67CA6" w:rsidP="00D67CA6">
      <w:pPr>
        <w:pStyle w:val="ListParagraph"/>
        <w:numPr>
          <w:ilvl w:val="0"/>
          <w:numId w:val="27"/>
        </w:numPr>
        <w:pBdr>
          <w:top w:val="nil"/>
          <w:left w:val="nil"/>
          <w:bottom w:val="nil"/>
          <w:right w:val="nil"/>
          <w:between w:val="nil"/>
        </w:pBdr>
        <w:spacing w:after="4"/>
        <w:ind w:right="47"/>
      </w:pPr>
      <w:r w:rsidRPr="00D67CA6">
        <w:rPr>
          <w:color w:val="000000"/>
        </w:rPr>
        <w:t>Carbon emissions and removals (Part A, Section 4.6, Table 8)</w:t>
      </w:r>
    </w:p>
    <w:p w:rsidR="001F1B70" w:rsidRDefault="00D67CA6">
      <w:pPr>
        <w:spacing w:before="240"/>
      </w:pPr>
      <w:r>
        <w:t>Optional guidance on the calculation of LCI indicators is available in ACLCA ISO 21930 guidance.</w:t>
      </w:r>
    </w:p>
    <w:p w:rsidR="001F1B70" w:rsidRDefault="00D67CA6">
      <w:pPr>
        <w:pStyle w:val="Heading1"/>
        <w:numPr>
          <w:ilvl w:val="0"/>
          <w:numId w:val="11"/>
        </w:numPr>
      </w:pPr>
      <w:r>
        <w:t>Interpretation</w:t>
      </w:r>
    </w:p>
    <w:p w:rsidR="001F1B70" w:rsidRDefault="00D67CA6">
      <w:pPr>
        <w:pBdr>
          <w:top w:val="nil"/>
          <w:left w:val="nil"/>
          <w:bottom w:val="nil"/>
          <w:right w:val="nil"/>
          <w:between w:val="nil"/>
        </w:pBdr>
        <w:spacing w:after="4"/>
        <w:ind w:right="47"/>
        <w:rPr>
          <w:color w:val="000000"/>
        </w:rPr>
      </w:pPr>
      <w:r>
        <w:rPr>
          <w:color w:val="000000"/>
        </w:rPr>
        <w:t xml:space="preserve">Interpretation requirements for the Project Report are provided in </w:t>
      </w:r>
      <w:r>
        <w:t xml:space="preserve">Part A, </w:t>
      </w:r>
      <w:r>
        <w:rPr>
          <w:color w:val="000000"/>
        </w:rPr>
        <w:t>Section 5</w:t>
      </w:r>
      <w:r>
        <w:t>.</w:t>
      </w:r>
    </w:p>
    <w:p w:rsidR="001F1B70" w:rsidRDefault="00D67CA6">
      <w:pPr>
        <w:spacing w:before="240" w:after="0" w:line="240" w:lineRule="auto"/>
      </w:pPr>
      <w:r>
        <w:t>An interpretation shall be provided in the EPD which discusses the assumptions and limitations associated with the interpretation of results as declared in the EPD, both methodology and data related.</w:t>
      </w:r>
    </w:p>
    <w:p w:rsidR="001F1B70" w:rsidRDefault="00D67CA6">
      <w:pPr>
        <w:spacing w:before="240"/>
      </w:pPr>
      <w:r>
        <w:t>This interpretation shall also include a description of the time frame and/or variance of the LCIA results if the EPD is valid for several products. An illustration of the results with figures is recommended in the EPD, e.g. for the dominance analysis, the distribution of impacts across the modules, the CO</w:t>
      </w:r>
      <w:r>
        <w:rPr>
          <w:vertAlign w:val="subscript"/>
        </w:rPr>
        <w:t>2</w:t>
      </w:r>
      <w:r>
        <w:t>-balance, etc. as appropriate for a reader's understanding of the environmental profile of the declared product.</w:t>
      </w:r>
    </w:p>
    <w:p w:rsidR="001F1B70" w:rsidRDefault="00D67CA6">
      <w:pPr>
        <w:spacing w:after="0" w:line="240" w:lineRule="auto"/>
      </w:pPr>
      <w:r>
        <w:t>The EPD shall include the following statements:</w:t>
      </w:r>
    </w:p>
    <w:p w:rsidR="001F1B70" w:rsidRDefault="00D67CA6">
      <w:pPr>
        <w:spacing w:after="120" w:line="240" w:lineRule="auto"/>
      </w:pPr>
      <w:r>
        <w:t xml:space="preserve">  </w:t>
      </w:r>
    </w:p>
    <w:p w:rsidR="001F1B70" w:rsidRDefault="00D67CA6">
      <w:pPr>
        <w:numPr>
          <w:ilvl w:val="0"/>
          <w:numId w:val="17"/>
        </w:numPr>
        <w:spacing w:after="120" w:line="240" w:lineRule="auto"/>
        <w:rPr>
          <w:rFonts w:ascii="Times New Roman" w:eastAsia="Times New Roman" w:hAnsi="Times New Roman" w:cs="Times New Roman"/>
          <w:color w:val="000000"/>
          <w:sz w:val="28"/>
          <w:szCs w:val="28"/>
        </w:rPr>
      </w:pPr>
      <w:r>
        <w:t>EPDs can complement but cannot replace tools and certifications that are designed to address environmental impacts and/or set performance thresholds – e.g. Type 1 certifications, health assessments and declarations, etc.  </w:t>
      </w:r>
    </w:p>
    <w:p w:rsidR="001F1B70" w:rsidRDefault="00D67CA6">
      <w:pPr>
        <w:numPr>
          <w:ilvl w:val="0"/>
          <w:numId w:val="17"/>
        </w:numPr>
        <w:spacing w:after="120" w:line="240" w:lineRule="auto"/>
      </w:pPr>
      <w:r>
        <w:t xml:space="preserve">Accuracy of Results: EPDs regularly rely on estimations of impacts; the level of accuracy in estimation of effect differs for any </w:t>
      </w:r>
      <w:r w:rsidR="00811E40">
        <w:t>product</w:t>
      </w:r>
      <w:r>
        <w:t xml:space="preserve"> line and reported impact when averaging data. Variability was estimated in this EPD by [describe method used]</w:t>
      </w:r>
    </w:p>
    <w:p w:rsidR="001F1B70" w:rsidRDefault="001F1B70">
      <w:pPr>
        <w:widowControl w:val="0"/>
        <w:spacing w:after="0" w:line="240" w:lineRule="auto"/>
      </w:pPr>
    </w:p>
    <w:p w:rsidR="001F1B70" w:rsidRDefault="001F1B70">
      <w:pPr>
        <w:widowControl w:val="0"/>
        <w:spacing w:after="0" w:line="240" w:lineRule="auto"/>
      </w:pPr>
    </w:p>
    <w:p w:rsidR="001F1B70" w:rsidRDefault="00D67CA6">
      <w:pPr>
        <w:pStyle w:val="Heading1"/>
        <w:numPr>
          <w:ilvl w:val="0"/>
          <w:numId w:val="11"/>
        </w:numPr>
      </w:pPr>
      <w:bookmarkStart w:id="27" w:name="_qsh70q" w:colFirst="0" w:colLast="0"/>
      <w:bookmarkEnd w:id="27"/>
      <w:r>
        <w:t>Additional Environmental Information</w:t>
      </w:r>
    </w:p>
    <w:p w:rsidR="001F1B70" w:rsidRDefault="00D67CA6">
      <w:pPr>
        <w:pStyle w:val="Heading2"/>
        <w:numPr>
          <w:ilvl w:val="1"/>
          <w:numId w:val="11"/>
        </w:numPr>
        <w:ind w:left="720" w:hanging="720"/>
      </w:pPr>
      <w:r>
        <w:t>Environment and Health During Manufacturing</w:t>
      </w:r>
    </w:p>
    <w:p w:rsidR="001F1B70" w:rsidRDefault="00D67CA6">
      <w:pPr>
        <w:spacing w:line="257" w:lineRule="auto"/>
        <w:ind w:left="-5" w:right="47"/>
      </w:pPr>
      <w:r>
        <w:t xml:space="preserve">Measures relating to environmental and health protection during the product manufacturing process extending beyond national guidelines (of the production country) may be described, e.g. reference to a product safety data sheet (SDS), description of Environmental Management Systems or similar programs addressing air emissions, wastewater, noise, etc.  </w:t>
      </w:r>
    </w:p>
    <w:p w:rsidR="001F1B70" w:rsidRDefault="00D67CA6">
      <w:pPr>
        <w:pStyle w:val="Heading2"/>
        <w:numPr>
          <w:ilvl w:val="1"/>
          <w:numId w:val="11"/>
        </w:numPr>
        <w:ind w:left="720" w:right="47" w:hanging="720"/>
      </w:pPr>
      <w:r>
        <w:t>Environment and health during installation</w:t>
      </w:r>
    </w:p>
    <w:p w:rsidR="001F1B70" w:rsidRDefault="00D67CA6">
      <w:pPr>
        <w:ind w:left="-5" w:right="110"/>
      </w:pPr>
      <w:r>
        <w:t>Information should be provided in this section on the relationship between the product, the environment and health, including any possible harmful substances or emissions e.g. reference to a product safety data sheet (SDS). Any recommendations concerning cleaning, maintenance, etc. of the declared product should be listed in Section 4 “Technical information on scenarios”.</w:t>
      </w:r>
    </w:p>
    <w:p w:rsidR="001F1B70" w:rsidRDefault="00D67CA6">
      <w:pPr>
        <w:pStyle w:val="Heading2"/>
        <w:numPr>
          <w:ilvl w:val="1"/>
          <w:numId w:val="11"/>
        </w:numPr>
        <w:ind w:left="720" w:hanging="720"/>
      </w:pPr>
      <w:r>
        <w:t>Extraordinary effects</w:t>
      </w:r>
    </w:p>
    <w:p w:rsidR="001F1B70" w:rsidRDefault="00D67CA6">
      <w:pPr>
        <w:pStyle w:val="Subtitle"/>
      </w:pPr>
      <w:r>
        <w:t>Fire</w:t>
      </w:r>
    </w:p>
    <w:p w:rsidR="001F1B70" w:rsidRDefault="00D67CA6">
      <w:pPr>
        <w:ind w:left="-5" w:right="37"/>
      </w:pPr>
      <w:r>
        <w:t>Information should be included on the product’s fire test response characteristics and possible impacts on the environment e.g. reaction-to-fire, other relevant fire tests as applicable, and emissions to air.</w:t>
      </w:r>
    </w:p>
    <w:p w:rsidR="001F1B70" w:rsidRDefault="00D67CA6">
      <w:pPr>
        <w:pStyle w:val="Subtitle"/>
      </w:pPr>
      <w:r>
        <w:t>Water</w:t>
      </w:r>
    </w:p>
    <w:p w:rsidR="001F1B70" w:rsidRDefault="00D67CA6">
      <w:pPr>
        <w:spacing w:after="0"/>
        <w:ind w:left="-5" w:right="47"/>
      </w:pPr>
      <w:r>
        <w:t>Information should be included on the product’s performance and possible impacts on the environment following unforeseeable influence of water, e.g. flooding.</w:t>
      </w:r>
      <w:r>
        <w:br/>
      </w:r>
    </w:p>
    <w:p w:rsidR="001F1B70" w:rsidRDefault="00D67CA6">
      <w:pPr>
        <w:pStyle w:val="Subtitle"/>
      </w:pPr>
      <w:r>
        <w:t>Mechanical destruction</w:t>
      </w:r>
    </w:p>
    <w:p w:rsidR="001F1B70" w:rsidRDefault="00D67CA6">
      <w:pPr>
        <w:ind w:left="-5" w:right="47"/>
      </w:pPr>
      <w:r>
        <w:t xml:space="preserve">Information should be included on the product’s performance and possible impacts on the environment following unforeseeable mechanical destruction, such as an earthquake. </w:t>
      </w:r>
    </w:p>
    <w:p w:rsidR="001F1B70" w:rsidRDefault="00D67CA6">
      <w:pPr>
        <w:pStyle w:val="Heading2"/>
        <w:numPr>
          <w:ilvl w:val="1"/>
          <w:numId w:val="11"/>
        </w:numPr>
        <w:ind w:hanging="612"/>
      </w:pPr>
      <w:r>
        <w:t>Delayed Emissions</w:t>
      </w:r>
    </w:p>
    <w:p w:rsidR="001F1B70" w:rsidRDefault="00D67CA6">
      <w:r>
        <w:t>Information related to delayed emissions (resulting from stored biogenic carbon or other processes) may be presented as a separate GWP indicator, including the reference methodology (e.g., approaches based on discounting or approaches based on time-dependent characterization factors within a pre-defined reference study period). See Part A, Section 4.4 for more information.</w:t>
      </w:r>
    </w:p>
    <w:p w:rsidR="001F1B70" w:rsidRDefault="00D67CA6">
      <w:pPr>
        <w:pStyle w:val="Heading2"/>
        <w:numPr>
          <w:ilvl w:val="1"/>
          <w:numId w:val="11"/>
        </w:numPr>
        <w:ind w:left="432"/>
      </w:pPr>
      <w:r>
        <w:t>Environmental Activities and Certifications</w:t>
      </w:r>
    </w:p>
    <w:p w:rsidR="001F1B70" w:rsidRDefault="00D67CA6">
      <w:r>
        <w:t>Other environmental activities, such as participation in recycling or recovery programs along with the details of these programs and contact information, may be provided.</w:t>
      </w:r>
    </w:p>
    <w:p w:rsidR="001F1B70" w:rsidRDefault="00D67CA6">
      <w:r>
        <w:t>For certifications applied to the product and listed in the EPD, a statement shall be included on where an interested party can find details of the certification program.</w:t>
      </w:r>
    </w:p>
    <w:p w:rsidR="001F1B70" w:rsidRDefault="00D67CA6">
      <w:pPr>
        <w:pStyle w:val="Heading2"/>
        <w:numPr>
          <w:ilvl w:val="1"/>
          <w:numId w:val="12"/>
        </w:numPr>
        <w:ind w:left="720" w:hanging="720"/>
      </w:pPr>
      <w:r>
        <w:t>Further Information</w:t>
      </w:r>
    </w:p>
    <w:p w:rsidR="001F1B70" w:rsidRDefault="00D67CA6">
      <w:pPr>
        <w:ind w:left="-5" w:right="47"/>
      </w:pPr>
      <w:r>
        <w:t>A reference source for additional information may be provided here, e.g. homepage, reference source for safety data sheet.</w:t>
      </w:r>
    </w:p>
    <w:p w:rsidR="001F1B70" w:rsidRDefault="00D67CA6">
      <w:pPr>
        <w:ind w:left="-5" w:right="47"/>
      </w:pPr>
      <w:r>
        <w:t>Additional environmental information may be provided here according to Part A, Section 4.10.</w:t>
      </w:r>
    </w:p>
    <w:p w:rsidR="001F1B70" w:rsidRDefault="00D67CA6">
      <w:pPr>
        <w:pStyle w:val="Heading1"/>
        <w:numPr>
          <w:ilvl w:val="0"/>
          <w:numId w:val="12"/>
        </w:numPr>
      </w:pPr>
      <w:r>
        <w:t>Project Report and Supporting Documentation</w:t>
      </w:r>
    </w:p>
    <w:p w:rsidR="001F1B70" w:rsidRDefault="00D67CA6">
      <w:pPr>
        <w:ind w:right="37"/>
      </w:pPr>
      <w:r>
        <w:t xml:space="preserve">The Project Report Content, Structure, and Accessibility requirements to support an EPD created using this document are provided in Part A, Section 2. Project Report elements include general information (Part A, Section 2.1), study goal (Part A, Section 2.2), study scope (Part A, Section 2.8), and the life cycle inventory analysis, impact assessment, and interpretation (Part A, Section 3, 4, and 5). Additionally, the Project Report shall include additional required supporting documentation specified in this sub-category Part B and according to Part A: Section 6. </w:t>
      </w:r>
    </w:p>
    <w:p w:rsidR="001F1B70" w:rsidRDefault="00D67CA6">
      <w:pPr>
        <w:ind w:left="-5" w:right="37"/>
      </w:pPr>
      <w:r>
        <w:lastRenderedPageBreak/>
        <w:t>If relevant to the scope of the declared product, or due to the product material composition, it is recommended to provide sufficient supporting documentation in the EPD and Project Report. When providing documentation, testing protocols and other relevant information shall be indicated. If supporting documentation is not provided, the reasons shall be indicated in the EPD and Project Report.</w:t>
      </w:r>
    </w:p>
    <w:p w:rsidR="001F1B70" w:rsidRDefault="00D67CA6">
      <w:pPr>
        <w:ind w:left="-5" w:right="37"/>
      </w:pPr>
      <w:r>
        <w:t>As a general rule, all statements shall be documented with measured data (presented by the corresponding test certificates). In the case of non-verifiable substances, the limit of detection shall be included in the declaration. Interpreting statements such as “… free of …” or “… are entirely harmless …” are not permissible.</w:t>
      </w:r>
    </w:p>
    <w:p w:rsidR="001F1B70" w:rsidRDefault="00D67CA6">
      <w:pPr>
        <w:pStyle w:val="Heading1"/>
        <w:numPr>
          <w:ilvl w:val="0"/>
          <w:numId w:val="12"/>
        </w:numPr>
      </w:pPr>
      <w:bookmarkStart w:id="28" w:name="_3as4poj" w:colFirst="0" w:colLast="0"/>
      <w:bookmarkEnd w:id="28"/>
      <w:r>
        <w:t>References</w:t>
      </w:r>
    </w:p>
    <w:p w:rsidR="001F1B70" w:rsidRDefault="00D67CA6">
      <w:r>
        <w:t xml:space="preserve">The literature referred to in the Environmental Product Declaration shall be quoted in full from the following sources. Standards and standards relating to evidence and/or technical features already fully quoted in the EPD do not need to be listed here. </w:t>
      </w:r>
    </w:p>
    <w:p w:rsidR="001F1B70" w:rsidRDefault="00D67CA6">
      <w:pPr>
        <w:pStyle w:val="Subtitle"/>
      </w:pPr>
      <w:r>
        <w:t>Sustainability Reporting Standards</w:t>
      </w:r>
    </w:p>
    <w:p w:rsidR="001F1B70" w:rsidRDefault="00D67CA6">
      <w:r>
        <w:t xml:space="preserve">ACLCA- ISO 21930 Guidance – Draft v.2.2- </w:t>
      </w:r>
      <w:hyperlink r:id="rId13">
        <w:r>
          <w:rPr>
            <w:color w:val="0000FF"/>
            <w:u w:val="single"/>
          </w:rPr>
          <w:t>https://aclca.org/wp-content/uploads/ACLCA-ISO-21930-guidance-DRAFT-v2_2.pdf</w:t>
        </w:r>
      </w:hyperlink>
    </w:p>
    <w:p w:rsidR="001F1B70" w:rsidRDefault="00D67CA6">
      <w:r>
        <w:t>ISO 14025: 2006 - Environmental labels and declarations — Type III environmental declarations — Principles and procedures</w:t>
      </w:r>
    </w:p>
    <w:p w:rsidR="001F1B70" w:rsidRDefault="00D67CA6">
      <w:r>
        <w:t>ISO 14040: 2006 - Environmental management – Life cycle assessment – Principles and framework</w:t>
      </w:r>
    </w:p>
    <w:p w:rsidR="001F1B70" w:rsidRDefault="00D67CA6">
      <w:r>
        <w:t>ISO 14044:2006 - Environmental management – Life cycle assessment – Requirements and guidelines</w:t>
      </w:r>
    </w:p>
    <w:p w:rsidR="001F1B70" w:rsidRDefault="00D67CA6">
      <w:r>
        <w:t>ISO 14046:2013 - Environmental management- Water footprint- Principles, requirements and guidelines</w:t>
      </w:r>
    </w:p>
    <w:p w:rsidR="001F1B70" w:rsidRDefault="00D67CA6">
      <w:r>
        <w:t xml:space="preserve">ISO 15392:2008 - Sustainability in building construction- General principles </w:t>
      </w:r>
    </w:p>
    <w:p w:rsidR="001F1B70" w:rsidRDefault="00D67CA6">
      <w:r>
        <w:t xml:space="preserve">ISO 15686-1:2011 - Buildings and constructed assets - Service life planning- Part 1: General principles </w:t>
      </w:r>
    </w:p>
    <w:p w:rsidR="001F1B70" w:rsidRDefault="00D67CA6">
      <w:r>
        <w:t>ISO 15686-2:2008 - Buildings and constructed assets - Service life planning Part 2: Service life prediction procedures</w:t>
      </w:r>
    </w:p>
    <w:p w:rsidR="001F1B70" w:rsidRDefault="00D67CA6">
      <w:r>
        <w:t>ISO 15686-7:2008 - Buildings and constructed assets - Service life planning Part 7: Performance evaluation for feedback of service life data from practice</w:t>
      </w:r>
    </w:p>
    <w:p w:rsidR="001F1B70" w:rsidRDefault="00D67CA6">
      <w:r>
        <w:t>ISO 15686-8:2008 - Buildings and constructed assets - Service life planning Part 8: Reference service life and service life estimation</w:t>
      </w:r>
    </w:p>
    <w:p w:rsidR="001F1B70" w:rsidRDefault="00D67CA6">
      <w:bookmarkStart w:id="29" w:name="_1pxezwc" w:colFirst="0" w:colLast="0"/>
      <w:bookmarkEnd w:id="29"/>
      <w:r>
        <w:t xml:space="preserve">ISO 21930: 2017 </w:t>
      </w:r>
      <w:r w:rsidR="00811E40">
        <w:t>- Sustainability</w:t>
      </w:r>
      <w:r>
        <w:t xml:space="preserve"> in buildings and civil engineering works – Core rules for environmental product declarations of construction products and services</w:t>
      </w:r>
    </w:p>
    <w:p w:rsidR="001F1B70" w:rsidRDefault="00D67CA6">
      <w:pPr>
        <w:pStyle w:val="Subtitle"/>
      </w:pPr>
      <w:r>
        <w:t>Testing and Classification References</w:t>
      </w:r>
    </w:p>
    <w:p w:rsidR="001F1B70" w:rsidRDefault="00D67CA6">
      <w:r>
        <w:t xml:space="preserve">American Conference of Governmental Industrial Hygienists (ACGIH®) Threshold Limit Values and Biological Exposure Indices </w:t>
      </w:r>
    </w:p>
    <w:p w:rsidR="001F1B70" w:rsidRDefault="00D67CA6">
      <w:pPr>
        <w:pBdr>
          <w:top w:val="nil"/>
          <w:left w:val="nil"/>
          <w:bottom w:val="nil"/>
          <w:right w:val="nil"/>
          <w:between w:val="nil"/>
        </w:pBdr>
        <w:spacing w:before="60" w:after="0" w:line="240" w:lineRule="auto"/>
        <w:rPr>
          <w:color w:val="000000"/>
        </w:rPr>
      </w:pPr>
      <w:r>
        <w:rPr>
          <w:color w:val="000000"/>
        </w:rPr>
        <w:t>Standard Method for the Testing and Evaluation of Volatile Organic Chemical Emissions from Indoor Sources using Environmental Chambers- version 1.2, January 2017.</w:t>
      </w:r>
    </w:p>
    <w:p w:rsidR="001F1B70" w:rsidRDefault="00D67CA6">
      <w:pPr>
        <w:spacing w:before="240"/>
        <w:rPr>
          <w:b/>
          <w:smallCaps/>
          <w:sz w:val="20"/>
          <w:szCs w:val="20"/>
        </w:rPr>
      </w:pPr>
      <w:r>
        <w:rPr>
          <w:b/>
          <w:smallCaps/>
          <w:sz w:val="20"/>
          <w:szCs w:val="20"/>
        </w:rPr>
        <w:t>ASHRAE:</w:t>
      </w:r>
    </w:p>
    <w:p w:rsidR="001F1B70" w:rsidRDefault="00D67CA6">
      <w:r>
        <w:t xml:space="preserve">ASHRAE Standard 62.1 Ventilation for Acceptable Indoor Air Quality </w:t>
      </w:r>
    </w:p>
    <w:p w:rsidR="001F1B70" w:rsidRDefault="00D67CA6">
      <w:r>
        <w:t>ASHRAE Standard 90.1 Energy Standard for Buildings Except Low-Rise Residential Buildings</w:t>
      </w:r>
    </w:p>
    <w:p w:rsidR="001F1B70" w:rsidRDefault="00D67CA6">
      <w:r>
        <w:t>ASHRAE 90.2 Energy-Efficient Design of Low-Rise Residential Buildings</w:t>
      </w:r>
    </w:p>
    <w:p w:rsidR="001F1B70" w:rsidRDefault="00D67CA6">
      <w:r>
        <w:t>ASHRAE 189.1 Standard for the Design of High-Performance Green Buildings</w:t>
      </w:r>
    </w:p>
    <w:p w:rsidR="001F1B70" w:rsidRDefault="00D67CA6">
      <w:pPr>
        <w:rPr>
          <w:b/>
          <w:smallCaps/>
          <w:sz w:val="20"/>
          <w:szCs w:val="20"/>
        </w:rPr>
      </w:pPr>
      <w:r>
        <w:rPr>
          <w:b/>
          <w:smallCaps/>
          <w:sz w:val="20"/>
          <w:szCs w:val="20"/>
        </w:rPr>
        <w:t>ASTM:</w:t>
      </w:r>
    </w:p>
    <w:p w:rsidR="001F1B70" w:rsidRDefault="00D67CA6">
      <w:pPr>
        <w:pStyle w:val="Subtitle"/>
        <w:rPr>
          <w:b w:val="0"/>
          <w:smallCaps w:val="0"/>
        </w:rPr>
      </w:pPr>
      <w:r>
        <w:rPr>
          <w:b w:val="0"/>
          <w:smallCaps w:val="0"/>
        </w:rPr>
        <w:lastRenderedPageBreak/>
        <w:t>ASTM E2921-16a, Standard Practice for Minimum Criteria for Comparing Whole Building Life Cycle Assessments for Use with Building Codes and Rating Systems.</w:t>
      </w:r>
    </w:p>
    <w:p w:rsidR="001F1B70" w:rsidRDefault="00D67CA6" w:rsidP="00D67CA6">
      <w:r>
        <w:t>ASTM E1332-90 Standard Classification for Rating Outdoor-Indoor Sound Attenuation</w:t>
      </w:r>
    </w:p>
    <w:p w:rsidR="001F1B70" w:rsidRDefault="00D67CA6">
      <w:r>
        <w:t>ASTM E330-14 Standard Test Method for Structural Performance of Exterior Windows, Doors, Skylights and Curtain Walls by Uniform Static Air Pressure Difference</w:t>
      </w:r>
    </w:p>
    <w:p w:rsidR="001F1B70" w:rsidRDefault="00D67CA6">
      <w:r>
        <w:t>STEEL DECK INSTITUTE:</w:t>
      </w:r>
    </w:p>
    <w:p w:rsidR="001F1B70" w:rsidRDefault="00D67CA6">
      <w:r>
        <w:t xml:space="preserve">ANSI/SDI A250.3-2007 (R2011) Test Procedure and Acceptance Criteria for Factory Applied Finish Coatings for Steel Doors and Frames </w:t>
      </w:r>
    </w:p>
    <w:p w:rsidR="001F1B70" w:rsidRDefault="00D67CA6">
      <w:r>
        <w:t>ANSI/SDI A250.4-2018 Test Procedure and Acceptance Criteria for Physical Endurance for Steel Doors, Frames and Frame Anchors</w:t>
      </w:r>
    </w:p>
    <w:p w:rsidR="001F1B70" w:rsidRDefault="00D67CA6">
      <w:r>
        <w:t>ANSI/SDI A250.8-2017 Recommended Specifications for Standard Steel Doors and Frames</w:t>
      </w:r>
    </w:p>
    <w:p w:rsidR="001F1B70" w:rsidRDefault="00D67CA6">
      <w:r>
        <w:t>ANSI/ SDI A250.10-1998 (R2011) Test Procedure and Acceptance Criteria for Prime Painted Steel Surfaces for Steel Doors and Frames</w:t>
      </w:r>
    </w:p>
    <w:p w:rsidR="001F1B70" w:rsidRDefault="00D67CA6">
      <w:r>
        <w:t>SDI 113-13(R2018) Standard Practice for Determining the Steady-State Thermal Transmittance of Steed Door and Frame Assemblies</w:t>
      </w:r>
    </w:p>
    <w:p w:rsidR="001F1B70" w:rsidRPr="00D67CA6" w:rsidRDefault="00D67CA6">
      <w:pPr>
        <w:rPr>
          <w:b/>
          <w:smallCaps/>
          <w:sz w:val="20"/>
          <w:szCs w:val="20"/>
        </w:rPr>
      </w:pPr>
      <w:r w:rsidRPr="00D67CA6">
        <w:rPr>
          <w:b/>
          <w:smallCaps/>
          <w:sz w:val="20"/>
          <w:szCs w:val="20"/>
        </w:rPr>
        <w:t>UL:</w:t>
      </w:r>
    </w:p>
    <w:p w:rsidR="001F1B70" w:rsidRDefault="00D67CA6">
      <w:r w:rsidRPr="005D2C78">
        <w:t>ANSI/UL 1784-2015 Air Leakage Test of Door Assemblies</w:t>
      </w:r>
    </w:p>
    <w:p w:rsidR="001F1B70" w:rsidRDefault="00D67CA6">
      <w:pPr>
        <w:pStyle w:val="Subtitle"/>
      </w:pPr>
      <w:r>
        <w:t xml:space="preserve">Relevant Federal Standards and SOPs </w:t>
      </w:r>
    </w:p>
    <w:p w:rsidR="001F1B70" w:rsidRDefault="00D67CA6">
      <w:r>
        <w:t xml:space="preserve">Environment Canada, National Pollutant Release Inventory (NPRI) (http://www.ec.gc.ca/inrp-npri/) </w:t>
      </w:r>
    </w:p>
    <w:p w:rsidR="001F1B70" w:rsidRDefault="00D67CA6">
      <w:r>
        <w:t xml:space="preserve">EPCRA 313 Toxic Release Inventory Reporting (U.S.) (http://www2.epa.gov/toxics-release-inventory-tri-program) </w:t>
      </w:r>
    </w:p>
    <w:p w:rsidR="001F1B70" w:rsidRDefault="00D67CA6">
      <w:r>
        <w:t xml:space="preserve">US EPA, ORD/NRMRL/Sustainable Technology Division, Systems Analysis Branch, SOP No. S-10637-OP-1-0- Tool for the Reduction and Assessment of Chemical and other Environmental Impacts (TRACI), Software Name and Version Number: TRACI version 2.1, USER’S MANUAL, 24 </w:t>
      </w:r>
      <w:r w:rsidR="00811E40">
        <w:t>July</w:t>
      </w:r>
      <w:r>
        <w:t xml:space="preserve"> 2012</w:t>
      </w:r>
    </w:p>
    <w:p w:rsidR="001F1B70" w:rsidRDefault="00D67CA6">
      <w:r>
        <w:t>UP EPA. Advancing Sustainable Materials Management: 2014 Tables and Figures Assessing Trends in Material Generation, Recycling, Composting, Combustion with Energy Recovery and Landfilling in the US. December 2016. https://www.epa.gov/sites/production/files/2016-11/documents/2014_smm_tablesfigures_508.pdf</w:t>
      </w:r>
    </w:p>
    <w:p w:rsidR="001F1B70" w:rsidRDefault="00D67CA6">
      <w:r>
        <w:t>US: Resource Conservation and Recovery Act (RCRA), Clause C (</w:t>
      </w:r>
      <w:hyperlink r:id="rId14">
        <w:r>
          <w:rPr>
            <w:color w:val="0000FF"/>
            <w:u w:val="single"/>
          </w:rPr>
          <w:t>http://www.epa.gov/region6/rcra/</w:t>
        </w:r>
      </w:hyperlink>
      <w:r>
        <w:t>)</w:t>
      </w:r>
    </w:p>
    <w:p w:rsidR="001F1B70" w:rsidRDefault="00D67CA6">
      <w:pPr>
        <w:pBdr>
          <w:top w:val="nil"/>
          <w:left w:val="nil"/>
          <w:bottom w:val="nil"/>
          <w:right w:val="nil"/>
          <w:between w:val="nil"/>
        </w:pBdr>
        <w:spacing w:after="0" w:line="240" w:lineRule="auto"/>
        <w:rPr>
          <w:color w:val="000000"/>
        </w:rPr>
      </w:pPr>
      <w:r>
        <w:rPr>
          <w:color w:val="000000"/>
        </w:rPr>
        <w:t>40 CFR 50 Protection of Environment - Part 50: National Primary and Secondary Ambient Air Quality Standards (U.S.) (</w:t>
      </w:r>
      <w:hyperlink r:id="rId15">
        <w:r>
          <w:rPr>
            <w:color w:val="0000FF"/>
            <w:u w:val="single"/>
          </w:rPr>
          <w:t>http://www.epa.gov/air/criteria.html</w:t>
        </w:r>
      </w:hyperlink>
      <w:r>
        <w:rPr>
          <w:color w:val="000000"/>
        </w:rPr>
        <w:t>)</w:t>
      </w:r>
    </w:p>
    <w:p w:rsidR="001F1B70" w:rsidRDefault="001F1B70">
      <w:pPr>
        <w:pBdr>
          <w:top w:val="nil"/>
          <w:left w:val="nil"/>
          <w:bottom w:val="nil"/>
          <w:right w:val="nil"/>
          <w:between w:val="nil"/>
        </w:pBdr>
        <w:spacing w:after="0" w:line="240" w:lineRule="auto"/>
        <w:rPr>
          <w:color w:val="000000"/>
        </w:rPr>
      </w:pPr>
    </w:p>
    <w:p w:rsidR="001F1B70" w:rsidRDefault="00D67CA6">
      <w:pPr>
        <w:pBdr>
          <w:top w:val="nil"/>
          <w:left w:val="nil"/>
          <w:bottom w:val="nil"/>
          <w:right w:val="nil"/>
          <w:between w:val="nil"/>
        </w:pBdr>
        <w:spacing w:after="0" w:line="240" w:lineRule="auto"/>
        <w:rPr>
          <w:color w:val="000000"/>
        </w:rPr>
      </w:pPr>
      <w:r>
        <w:rPr>
          <w:color w:val="000000"/>
        </w:rPr>
        <w:t xml:space="preserve">Clean Air Act (CAA) Section 112(r): </w:t>
      </w:r>
      <w:r>
        <w:t>Accidental</w:t>
      </w:r>
      <w:r>
        <w:rPr>
          <w:color w:val="000000"/>
        </w:rPr>
        <w:t xml:space="preserve"> Release Prevention/Public Management Rule (</w:t>
      </w:r>
      <w:hyperlink r:id="rId16">
        <w:r>
          <w:rPr>
            <w:color w:val="0000FF"/>
            <w:u w:val="single"/>
          </w:rPr>
          <w:t>http://www.epa.gov/oem/docs/chem/caa112_rmp_factsheet.pdf</w:t>
        </w:r>
      </w:hyperlink>
      <w:r>
        <w:rPr>
          <w:color w:val="000000"/>
        </w:rPr>
        <w:t xml:space="preserve">) </w:t>
      </w:r>
    </w:p>
    <w:p w:rsidR="001F1B70" w:rsidRDefault="001F1B70">
      <w:pPr>
        <w:pBdr>
          <w:top w:val="nil"/>
          <w:left w:val="nil"/>
          <w:bottom w:val="nil"/>
          <w:right w:val="nil"/>
          <w:between w:val="nil"/>
        </w:pBdr>
        <w:spacing w:after="0" w:line="240" w:lineRule="auto"/>
        <w:rPr>
          <w:color w:val="000000"/>
        </w:rPr>
      </w:pPr>
    </w:p>
    <w:p w:rsidR="001F1B70" w:rsidRDefault="00D67CA6">
      <w:pPr>
        <w:pBdr>
          <w:top w:val="nil"/>
          <w:left w:val="nil"/>
          <w:bottom w:val="nil"/>
          <w:right w:val="nil"/>
          <w:between w:val="nil"/>
        </w:pBdr>
        <w:spacing w:after="0" w:line="240" w:lineRule="auto"/>
        <w:rPr>
          <w:color w:val="000000"/>
        </w:rPr>
      </w:pPr>
      <w:r>
        <w:rPr>
          <w:color w:val="000000"/>
        </w:rPr>
        <w:t xml:space="preserve">CERCLA Hazardous Substances (U.S.) (http://www.epa.gov/oem/content/hazsubs/cercsubs.htm) </w:t>
      </w:r>
    </w:p>
    <w:p w:rsidR="001F1B70" w:rsidRDefault="001F1B70">
      <w:pPr>
        <w:pBdr>
          <w:top w:val="nil"/>
          <w:left w:val="nil"/>
          <w:bottom w:val="nil"/>
          <w:right w:val="nil"/>
          <w:between w:val="nil"/>
        </w:pBdr>
        <w:spacing w:after="0" w:line="240" w:lineRule="auto"/>
        <w:rPr>
          <w:color w:val="000000"/>
        </w:rPr>
      </w:pPr>
    </w:p>
    <w:p w:rsidR="001F1B70" w:rsidRDefault="00D67CA6">
      <w:pPr>
        <w:pBdr>
          <w:top w:val="nil"/>
          <w:left w:val="nil"/>
          <w:bottom w:val="nil"/>
          <w:right w:val="nil"/>
          <w:between w:val="nil"/>
        </w:pBdr>
        <w:spacing w:after="0" w:line="240" w:lineRule="auto"/>
        <w:rPr>
          <w:color w:val="000000"/>
        </w:rPr>
      </w:pPr>
      <w:r>
        <w:rPr>
          <w:color w:val="000000"/>
        </w:rPr>
        <w:t xml:space="preserve">U.S. Department of Labor, Occupational Safety &amp; Health Administration (OSHA 1910.1200 Hazard Communication Standard—Toxic and Hazardous Substances (U.S) </w:t>
      </w:r>
    </w:p>
    <w:p w:rsidR="001F1B70" w:rsidRDefault="00D67CA6">
      <w:pPr>
        <w:pBdr>
          <w:top w:val="nil"/>
          <w:left w:val="nil"/>
          <w:bottom w:val="nil"/>
          <w:right w:val="nil"/>
          <w:between w:val="nil"/>
        </w:pBdr>
        <w:spacing w:after="0" w:line="240" w:lineRule="auto"/>
        <w:rPr>
          <w:color w:val="000000"/>
        </w:rPr>
      </w:pPr>
      <w:r>
        <w:rPr>
          <w:color w:val="000000"/>
        </w:rPr>
        <w:t xml:space="preserve">(http://www.osha.gov/pls/oshaweb/owadisp.show_document?p_table=standards&amp;p_id=10099) </w:t>
      </w:r>
    </w:p>
    <w:p w:rsidR="001F1B70" w:rsidRDefault="001F1B70">
      <w:pPr>
        <w:pStyle w:val="Subtitle"/>
      </w:pPr>
    </w:p>
    <w:p w:rsidR="001F1B70" w:rsidRDefault="00D67CA6">
      <w:pPr>
        <w:pStyle w:val="Subtitle"/>
      </w:pPr>
      <w:r>
        <w:t>Relevant PCRs and PCR Guidance</w:t>
      </w:r>
    </w:p>
    <w:p w:rsidR="001F1B70" w:rsidRDefault="00D67CA6">
      <w:r>
        <w:t>ISO 14027:2017 - Environmental labels and declarations -- Development of product category rules</w:t>
      </w:r>
    </w:p>
    <w:p w:rsidR="001F1B70" w:rsidRDefault="00D67CA6">
      <w:r>
        <w:t>EN 15804:2012+A1:2013 - Sustainability of construction works. Environmental product declarations. Core rules for the product category of construction products</w:t>
      </w:r>
    </w:p>
    <w:p w:rsidR="001F1B70" w:rsidRDefault="00D67CA6">
      <w:r>
        <w:lastRenderedPageBreak/>
        <w:t xml:space="preserve">ISO 21930: 2017 </w:t>
      </w:r>
      <w:r w:rsidR="00811E40">
        <w:t>- Sustainability</w:t>
      </w:r>
      <w:r>
        <w:t xml:space="preserve"> in buildings and civil engineering works – Core rules for environmental product declarations of construction products and services</w:t>
      </w:r>
    </w:p>
    <w:p w:rsidR="001F1B70" w:rsidRDefault="00D67CA6">
      <w:r>
        <w:t>Part A: Life Cycle Assessment Calculation Rules and Report Requirements UL Environment (December 2018, version 3.2)</w:t>
      </w:r>
    </w:p>
    <w:p w:rsidR="001F1B70" w:rsidRDefault="00D67CA6">
      <w:r>
        <w:t>USGBC and UL Environment. PCR Committee Process and Resources: Part B. July 2017.</w:t>
      </w:r>
    </w:p>
    <w:p w:rsidR="001F1B70" w:rsidRDefault="001F1B70"/>
    <w:p w:rsidR="001F1B70" w:rsidRDefault="00D67CA6">
      <w:pPr>
        <w:pStyle w:val="Heading1"/>
        <w:numPr>
          <w:ilvl w:val="0"/>
          <w:numId w:val="23"/>
        </w:numPr>
      </w:pPr>
      <w:bookmarkStart w:id="30" w:name="_49x2ik5" w:colFirst="0" w:colLast="0"/>
      <w:bookmarkEnd w:id="30"/>
      <w:r>
        <w:t>Appendix</w:t>
      </w:r>
      <w:r w:rsidR="004B01CE">
        <w:t xml:space="preserve"> A</w:t>
      </w:r>
    </w:p>
    <w:p w:rsidR="001F1B70" w:rsidRDefault="00D67CA6">
      <w:pPr>
        <w:jc w:val="both"/>
      </w:pPr>
      <w:r>
        <w:t xml:space="preserve">This appendix documents a methodology to determine the heating and cooling energy usage for a given door. A door doesn’t directly use energy, but its presence in a building causes a loss of energy which must be compensated for by the building HVAC system. The choice of door will have a large effect on the building energy usage over its lifetime.  </w:t>
      </w:r>
    </w:p>
    <w:p w:rsidR="001F1B70" w:rsidRDefault="00D67CA6">
      <w:pPr>
        <w:jc w:val="both"/>
      </w:pPr>
      <w:bookmarkStart w:id="31" w:name="_2p2csry" w:colFirst="0" w:colLast="0"/>
      <w:bookmarkEnd w:id="31"/>
      <w:r>
        <w:t>The main energy transmission through a door is due to its Thermal Resistance (R-Value) and its Air Leakage Rate.  The Air Leakage Rate has been assigned a fixed value for the purposes of this report. The Thermal Resistance (R-Value) is the only independent variable in our methodology to determine annual energy usage of the door.</w:t>
      </w:r>
    </w:p>
    <w:p w:rsidR="001F1B70" w:rsidRDefault="00D67CA6">
      <w:pPr>
        <w:jc w:val="both"/>
      </w:pPr>
      <w:r>
        <w:t xml:space="preserve">The calculation methodology is documented within and a spreadsheet was created to perform the calculations.  </w:t>
      </w:r>
    </w:p>
    <w:p w:rsidR="001F1B70" w:rsidRDefault="00D67CA6">
      <w:pPr>
        <w:keepNext/>
        <w:keepLines/>
        <w:numPr>
          <w:ilvl w:val="1"/>
          <w:numId w:val="24"/>
        </w:numPr>
        <w:pBdr>
          <w:top w:val="none" w:sz="0" w:space="0" w:color="000000"/>
          <w:left w:val="none" w:sz="0" w:space="0" w:color="000000"/>
          <w:bottom w:val="none" w:sz="0" w:space="0" w:color="000000"/>
          <w:right w:val="none" w:sz="0" w:space="0" w:color="000000"/>
          <w:between w:val="none" w:sz="0" w:space="0" w:color="000000"/>
        </w:pBdr>
        <w:spacing w:after="162" w:line="259" w:lineRule="auto"/>
        <w:ind w:hanging="612"/>
      </w:pPr>
      <w:r>
        <w:rPr>
          <w:rFonts w:ascii="Calibri" w:eastAsia="Calibri" w:hAnsi="Calibri" w:cs="Calibri"/>
          <w:b/>
          <w:smallCaps/>
          <w:color w:val="000000"/>
          <w:sz w:val="22"/>
          <w:szCs w:val="22"/>
        </w:rPr>
        <w:t>Calculation Methodology</w:t>
      </w:r>
    </w:p>
    <w:p w:rsidR="001F1B70" w:rsidRDefault="00D67CA6">
      <w:pPr>
        <w:jc w:val="both"/>
      </w:pPr>
      <w:r>
        <w:t xml:space="preserve">The total door annual energy usage has been calculated using Heating Degree Days and Cooling Degree Days as a basis.  The Degree Days represent an annual factor of the time and magnitude of the deviation from a set temperature, typically 65°F. A Heating Degree Day represents 1 day at 1 degree below the basis point. A Cooling Degree Day represents 1 day at 1 degree above the basis point. Both the Overall Thermal Resistance and Air Leakage characteristics of the door will affect the energy loads.  </w:t>
      </w:r>
    </w:p>
    <w:p w:rsidR="001F1B70" w:rsidRDefault="00D67CA6">
      <w:pPr>
        <w:jc w:val="both"/>
      </w:pPr>
      <w:r>
        <w:t xml:space="preserve">A summary of main terms used in the calculations is included in Table 16 below. </w:t>
      </w:r>
    </w:p>
    <w:p w:rsidR="001F1B70" w:rsidRDefault="00D67CA6">
      <w:pPr>
        <w:keepNext/>
        <w:pBdr>
          <w:top w:val="nil"/>
          <w:left w:val="nil"/>
          <w:bottom w:val="nil"/>
          <w:right w:val="nil"/>
          <w:between w:val="nil"/>
        </w:pBdr>
        <w:spacing w:line="240" w:lineRule="auto"/>
        <w:rPr>
          <w:b/>
          <w:smallCaps/>
          <w:color w:val="000000"/>
        </w:rPr>
      </w:pPr>
      <w:bookmarkStart w:id="32" w:name="_147n2zr" w:colFirst="0" w:colLast="0"/>
      <w:bookmarkEnd w:id="32"/>
      <w:r>
        <w:rPr>
          <w:b/>
          <w:smallCaps/>
          <w:color w:val="000000"/>
        </w:rPr>
        <w:t>Table 16. Summary of Primary Input Variables and Fixed Assumptions</w:t>
      </w:r>
    </w:p>
    <w:tbl>
      <w:tblPr>
        <w:tblStyle w:val="af1"/>
        <w:tblW w:w="7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170"/>
        <w:gridCol w:w="1620"/>
      </w:tblGrid>
      <w:tr w:rsidR="001F1B70">
        <w:trPr>
          <w:trHeight w:val="440"/>
        </w:trPr>
        <w:tc>
          <w:tcPr>
            <w:tcW w:w="4248" w:type="dxa"/>
            <w:shd w:val="clear" w:color="auto" w:fill="D9D9D9"/>
            <w:vAlign w:val="center"/>
          </w:tcPr>
          <w:p w:rsidR="001F1B70" w:rsidRDefault="00D67CA6">
            <w:pPr>
              <w:spacing w:after="0" w:line="240" w:lineRule="auto"/>
              <w:jc w:val="center"/>
              <w:rPr>
                <w:b/>
              </w:rPr>
            </w:pPr>
            <w:r>
              <w:rPr>
                <w:b/>
              </w:rPr>
              <w:t>Input Variables</w:t>
            </w:r>
          </w:p>
        </w:tc>
        <w:tc>
          <w:tcPr>
            <w:tcW w:w="1170" w:type="dxa"/>
            <w:shd w:val="clear" w:color="auto" w:fill="D9D9D9"/>
            <w:vAlign w:val="center"/>
          </w:tcPr>
          <w:p w:rsidR="001F1B70" w:rsidRDefault="00D67CA6">
            <w:pPr>
              <w:spacing w:after="0" w:line="240" w:lineRule="auto"/>
              <w:jc w:val="center"/>
              <w:rPr>
                <w:b/>
              </w:rPr>
            </w:pPr>
            <w:r>
              <w:rPr>
                <w:b/>
              </w:rPr>
              <w:t>Symbol</w:t>
            </w:r>
          </w:p>
        </w:tc>
        <w:tc>
          <w:tcPr>
            <w:tcW w:w="1620" w:type="dxa"/>
            <w:shd w:val="clear" w:color="auto" w:fill="D9D9D9"/>
            <w:vAlign w:val="center"/>
          </w:tcPr>
          <w:p w:rsidR="001F1B70" w:rsidRDefault="00D67CA6">
            <w:pPr>
              <w:spacing w:after="0" w:line="240" w:lineRule="auto"/>
              <w:jc w:val="center"/>
              <w:rPr>
                <w:b/>
              </w:rPr>
            </w:pPr>
            <w:r>
              <w:rPr>
                <w:b/>
              </w:rPr>
              <w:t>Units</w:t>
            </w:r>
          </w:p>
        </w:tc>
      </w:tr>
      <w:tr w:rsidR="001F1B70">
        <w:trPr>
          <w:trHeight w:val="340"/>
        </w:trPr>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70" w:rsidRDefault="00D67CA6">
            <w:pPr>
              <w:spacing w:after="0" w:line="240" w:lineRule="auto"/>
            </w:pPr>
            <w:r>
              <w:t>Overall Thermal Resistance (R-Value)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70" w:rsidRDefault="00D67CA6">
            <w:pPr>
              <w:spacing w:after="0" w:line="240" w:lineRule="auto"/>
            </w:pPr>
            <w:r>
              <w:t>R</w:t>
            </w:r>
            <w:r>
              <w:rPr>
                <w:vertAlign w:val="subscript"/>
              </w:rPr>
              <w:t>u</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70" w:rsidRDefault="00D67CA6">
            <w:pPr>
              <w:spacing w:after="0" w:line="240" w:lineRule="auto"/>
            </w:pPr>
            <w:r>
              <w:t>hr-ft</w:t>
            </w:r>
            <w:r>
              <w:rPr>
                <w:vertAlign w:val="superscript"/>
              </w:rPr>
              <w:t>2</w:t>
            </w:r>
            <w:r>
              <w:t>-°F/BTU</w:t>
            </w:r>
          </w:p>
        </w:tc>
      </w:tr>
    </w:tbl>
    <w:p w:rsidR="001F1B70" w:rsidRDefault="001F1B70">
      <w:pPr>
        <w:jc w:val="both"/>
      </w:pPr>
    </w:p>
    <w:tbl>
      <w:tblPr>
        <w:tblStyle w:val="af2"/>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tblCellMar>
        <w:tblLook w:val="04A0" w:firstRow="1" w:lastRow="0" w:firstColumn="1" w:lastColumn="0" w:noHBand="0" w:noVBand="1"/>
      </w:tblPr>
      <w:tblGrid>
        <w:gridCol w:w="3438"/>
        <w:gridCol w:w="1440"/>
        <w:gridCol w:w="1530"/>
        <w:gridCol w:w="2070"/>
      </w:tblGrid>
      <w:tr w:rsidR="001F1B70" w:rsidRPr="00D67CA6" w:rsidTr="004B01C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38" w:type="dxa"/>
            <w:shd w:val="clear" w:color="auto" w:fill="D9D9D9"/>
            <w:vAlign w:val="center"/>
          </w:tcPr>
          <w:p w:rsidR="001F1B70" w:rsidRPr="00D67CA6" w:rsidRDefault="00D67CA6">
            <w:pPr>
              <w:jc w:val="center"/>
              <w:rPr>
                <w:rFonts w:asciiTheme="minorBidi" w:hAnsiTheme="minorBidi" w:cstheme="minorBidi"/>
                <w:sz w:val="18"/>
                <w:szCs w:val="18"/>
              </w:rPr>
            </w:pPr>
            <w:r w:rsidRPr="00D67CA6">
              <w:rPr>
                <w:rFonts w:asciiTheme="minorBidi" w:hAnsiTheme="minorBidi" w:cstheme="minorBidi"/>
                <w:sz w:val="18"/>
                <w:szCs w:val="18"/>
              </w:rPr>
              <w:t>Fixed Assumptions</w:t>
            </w:r>
          </w:p>
        </w:tc>
        <w:tc>
          <w:tcPr>
            <w:tcW w:w="1440" w:type="dxa"/>
            <w:shd w:val="clear" w:color="auto" w:fill="D9D9D9"/>
            <w:vAlign w:val="center"/>
          </w:tcPr>
          <w:p w:rsidR="001F1B70" w:rsidRPr="00D67CA6" w:rsidRDefault="00D67CA6">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Symbol</w:t>
            </w:r>
          </w:p>
        </w:tc>
        <w:tc>
          <w:tcPr>
            <w:tcW w:w="1530" w:type="dxa"/>
            <w:shd w:val="clear" w:color="auto" w:fill="D9D9D9"/>
            <w:vAlign w:val="center"/>
          </w:tcPr>
          <w:p w:rsidR="001F1B70" w:rsidRPr="00D67CA6" w:rsidRDefault="00D67CA6">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Units</w:t>
            </w:r>
          </w:p>
        </w:tc>
        <w:tc>
          <w:tcPr>
            <w:tcW w:w="2070" w:type="dxa"/>
            <w:shd w:val="clear" w:color="auto" w:fill="D9D9D9"/>
            <w:vAlign w:val="center"/>
          </w:tcPr>
          <w:p w:rsidR="001F1B70" w:rsidRPr="00D67CA6" w:rsidRDefault="00D67CA6">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Assigned Value</w:t>
            </w:r>
          </w:p>
        </w:tc>
      </w:tr>
      <w:tr w:rsidR="001F1B70" w:rsidRPr="00D67CA6" w:rsidTr="004B0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1F1B70" w:rsidRPr="00D67CA6" w:rsidRDefault="00D67CA6">
            <w:pPr>
              <w:spacing w:line="252" w:lineRule="auto"/>
              <w:rPr>
                <w:rFonts w:asciiTheme="minorBidi" w:hAnsiTheme="minorBidi" w:cstheme="minorBidi"/>
                <w:sz w:val="18"/>
                <w:szCs w:val="18"/>
              </w:rPr>
            </w:pPr>
            <w:r w:rsidRPr="00D67CA6">
              <w:rPr>
                <w:rFonts w:asciiTheme="minorBidi" w:hAnsiTheme="minorBidi" w:cstheme="minorBidi"/>
                <w:b w:val="0"/>
                <w:sz w:val="18"/>
                <w:szCs w:val="18"/>
              </w:rPr>
              <w:t>Air Density @ 70F, 14.696psi</w:t>
            </w:r>
          </w:p>
        </w:tc>
        <w:tc>
          <w:tcPr>
            <w:tcW w:w="1440" w:type="dxa"/>
          </w:tcPr>
          <w:p w:rsidR="001F1B70" w:rsidRPr="00D67CA6" w:rsidRDefault="00D67CA6">
            <w:pPr>
              <w:spacing w:line="252"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ρ</w:t>
            </w:r>
          </w:p>
        </w:tc>
        <w:tc>
          <w:tcPr>
            <w:tcW w:w="1530" w:type="dxa"/>
          </w:tcPr>
          <w:p w:rsidR="001F1B70" w:rsidRPr="00D67CA6" w:rsidRDefault="00D67CA6">
            <w:pPr>
              <w:spacing w:line="252"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lbm/ft3</w:t>
            </w:r>
          </w:p>
        </w:tc>
        <w:tc>
          <w:tcPr>
            <w:tcW w:w="2070" w:type="dxa"/>
          </w:tcPr>
          <w:p w:rsidR="001F1B70" w:rsidRPr="00D67CA6" w:rsidRDefault="00D67CA6">
            <w:pPr>
              <w:spacing w:line="252"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0.0749</w:t>
            </w:r>
          </w:p>
        </w:tc>
      </w:tr>
      <w:tr w:rsidR="001F1B70" w:rsidRPr="00D67CA6" w:rsidTr="004B01CE">
        <w:tc>
          <w:tcPr>
            <w:cnfStyle w:val="001000000000" w:firstRow="0" w:lastRow="0" w:firstColumn="1" w:lastColumn="0" w:oddVBand="0" w:evenVBand="0" w:oddHBand="0" w:evenHBand="0" w:firstRowFirstColumn="0" w:firstRowLastColumn="0" w:lastRowFirstColumn="0" w:lastRowLastColumn="0"/>
            <w:tcW w:w="3438" w:type="dxa"/>
          </w:tcPr>
          <w:p w:rsidR="001F1B70" w:rsidRPr="00D67CA6" w:rsidRDefault="00D67CA6">
            <w:pPr>
              <w:spacing w:line="252" w:lineRule="auto"/>
              <w:rPr>
                <w:rFonts w:asciiTheme="minorBidi" w:hAnsiTheme="minorBidi" w:cstheme="minorBidi"/>
                <w:sz w:val="18"/>
                <w:szCs w:val="18"/>
              </w:rPr>
            </w:pPr>
            <w:r w:rsidRPr="00D67CA6">
              <w:rPr>
                <w:rFonts w:asciiTheme="minorBidi" w:hAnsiTheme="minorBidi" w:cstheme="minorBidi"/>
                <w:b w:val="0"/>
                <w:sz w:val="18"/>
                <w:szCs w:val="18"/>
              </w:rPr>
              <w:t>Air Leakage Rate @ 75 Pa</w:t>
            </w:r>
          </w:p>
        </w:tc>
        <w:tc>
          <w:tcPr>
            <w:tcW w:w="1440" w:type="dxa"/>
          </w:tcPr>
          <w:p w:rsidR="001F1B70" w:rsidRPr="00D67CA6" w:rsidRDefault="00D67CA6">
            <w:pPr>
              <w:spacing w:line="252"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AL75</w:t>
            </w:r>
          </w:p>
        </w:tc>
        <w:tc>
          <w:tcPr>
            <w:tcW w:w="1530" w:type="dxa"/>
          </w:tcPr>
          <w:p w:rsidR="001F1B70" w:rsidRPr="00D67CA6" w:rsidRDefault="00D67CA6">
            <w:pPr>
              <w:spacing w:line="252"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cfm/ft2</w:t>
            </w:r>
          </w:p>
        </w:tc>
        <w:tc>
          <w:tcPr>
            <w:tcW w:w="2070" w:type="dxa"/>
          </w:tcPr>
          <w:p w:rsidR="001F1B70" w:rsidRPr="00D67CA6" w:rsidRDefault="00D67CA6">
            <w:pPr>
              <w:spacing w:line="252"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0.3</w:t>
            </w:r>
          </w:p>
        </w:tc>
      </w:tr>
      <w:tr w:rsidR="001F1B70" w:rsidRPr="00D67CA6" w:rsidTr="004B0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1F1B70" w:rsidRPr="00D67CA6" w:rsidRDefault="00D67CA6">
            <w:pPr>
              <w:spacing w:line="252" w:lineRule="auto"/>
              <w:rPr>
                <w:rFonts w:asciiTheme="minorBidi" w:hAnsiTheme="minorBidi" w:cstheme="minorBidi"/>
                <w:sz w:val="18"/>
                <w:szCs w:val="18"/>
              </w:rPr>
            </w:pPr>
            <w:r w:rsidRPr="00D67CA6">
              <w:rPr>
                <w:rFonts w:asciiTheme="minorBidi" w:hAnsiTheme="minorBidi" w:cstheme="minorBidi"/>
                <w:b w:val="0"/>
                <w:sz w:val="18"/>
                <w:szCs w:val="18"/>
              </w:rPr>
              <w:t>Average Wind Speed</w:t>
            </w:r>
          </w:p>
        </w:tc>
        <w:tc>
          <w:tcPr>
            <w:tcW w:w="1440" w:type="dxa"/>
          </w:tcPr>
          <w:p w:rsidR="001F1B70" w:rsidRPr="00D67CA6" w:rsidRDefault="00D67CA6">
            <w:pPr>
              <w:spacing w:line="252"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v</w:t>
            </w:r>
          </w:p>
        </w:tc>
        <w:tc>
          <w:tcPr>
            <w:tcW w:w="1530" w:type="dxa"/>
          </w:tcPr>
          <w:p w:rsidR="001F1B70" w:rsidRPr="00D67CA6" w:rsidRDefault="00D67CA6">
            <w:pPr>
              <w:spacing w:line="252"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Mph</w:t>
            </w:r>
          </w:p>
        </w:tc>
        <w:tc>
          <w:tcPr>
            <w:tcW w:w="2070" w:type="dxa"/>
          </w:tcPr>
          <w:p w:rsidR="001F1B70" w:rsidRPr="00D67CA6" w:rsidRDefault="00D67CA6">
            <w:pPr>
              <w:spacing w:line="252"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7</w:t>
            </w:r>
          </w:p>
        </w:tc>
      </w:tr>
      <w:tr w:rsidR="001F1B70" w:rsidRPr="00D67CA6" w:rsidTr="004B01CE">
        <w:tc>
          <w:tcPr>
            <w:cnfStyle w:val="001000000000" w:firstRow="0" w:lastRow="0" w:firstColumn="1" w:lastColumn="0" w:oddVBand="0" w:evenVBand="0" w:oddHBand="0" w:evenHBand="0" w:firstRowFirstColumn="0" w:firstRowLastColumn="0" w:lastRowFirstColumn="0" w:lastRowLastColumn="0"/>
            <w:tcW w:w="3438" w:type="dxa"/>
          </w:tcPr>
          <w:p w:rsidR="001F1B70" w:rsidRPr="00D67CA6" w:rsidRDefault="00D67CA6">
            <w:pPr>
              <w:spacing w:line="252" w:lineRule="auto"/>
              <w:rPr>
                <w:rFonts w:asciiTheme="minorBidi" w:hAnsiTheme="minorBidi" w:cstheme="minorBidi"/>
                <w:sz w:val="18"/>
                <w:szCs w:val="18"/>
              </w:rPr>
            </w:pPr>
            <w:r w:rsidRPr="00D67CA6">
              <w:rPr>
                <w:rFonts w:asciiTheme="minorBidi" w:hAnsiTheme="minorBidi" w:cstheme="minorBidi"/>
                <w:b w:val="0"/>
                <w:sz w:val="18"/>
                <w:szCs w:val="18"/>
              </w:rPr>
              <w:t>Cooling Degree Days</w:t>
            </w:r>
          </w:p>
        </w:tc>
        <w:tc>
          <w:tcPr>
            <w:tcW w:w="1440" w:type="dxa"/>
          </w:tcPr>
          <w:p w:rsidR="001F1B70" w:rsidRPr="00D67CA6" w:rsidRDefault="00D67CA6">
            <w:pPr>
              <w:spacing w:line="252"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CDD</w:t>
            </w:r>
          </w:p>
        </w:tc>
        <w:tc>
          <w:tcPr>
            <w:tcW w:w="1530" w:type="dxa"/>
          </w:tcPr>
          <w:p w:rsidR="001F1B70" w:rsidRPr="00D67CA6" w:rsidRDefault="00D67CA6">
            <w:pPr>
              <w:spacing w:line="252"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°F-day</w:t>
            </w:r>
          </w:p>
        </w:tc>
        <w:tc>
          <w:tcPr>
            <w:tcW w:w="2070" w:type="dxa"/>
          </w:tcPr>
          <w:p w:rsidR="001F1B70" w:rsidRPr="00D67CA6" w:rsidRDefault="00D67CA6">
            <w:pPr>
              <w:spacing w:line="252"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1000</w:t>
            </w:r>
          </w:p>
        </w:tc>
      </w:tr>
      <w:tr w:rsidR="001F1B70" w:rsidRPr="00D67CA6" w:rsidTr="004B0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1F1B70" w:rsidRPr="00D67CA6" w:rsidRDefault="00D67CA6">
            <w:pPr>
              <w:spacing w:line="252" w:lineRule="auto"/>
              <w:rPr>
                <w:rFonts w:asciiTheme="minorBidi" w:hAnsiTheme="minorBidi" w:cstheme="minorBidi"/>
                <w:sz w:val="18"/>
                <w:szCs w:val="18"/>
              </w:rPr>
            </w:pPr>
            <w:r w:rsidRPr="00D67CA6">
              <w:rPr>
                <w:rFonts w:asciiTheme="minorBidi" w:hAnsiTheme="minorBidi" w:cstheme="minorBidi"/>
                <w:b w:val="0"/>
                <w:sz w:val="18"/>
                <w:szCs w:val="18"/>
              </w:rPr>
              <w:t>Cooling System SEER</w:t>
            </w:r>
          </w:p>
        </w:tc>
        <w:tc>
          <w:tcPr>
            <w:tcW w:w="1440" w:type="dxa"/>
          </w:tcPr>
          <w:p w:rsidR="001F1B70" w:rsidRPr="00D67CA6" w:rsidRDefault="00D67CA6">
            <w:pPr>
              <w:spacing w:line="252"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SEER</w:t>
            </w:r>
          </w:p>
        </w:tc>
        <w:tc>
          <w:tcPr>
            <w:tcW w:w="1530" w:type="dxa"/>
          </w:tcPr>
          <w:p w:rsidR="001F1B70" w:rsidRPr="00D67CA6" w:rsidRDefault="00D67CA6">
            <w:pPr>
              <w:spacing w:line="252"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BTU/W-Hr</w:t>
            </w:r>
          </w:p>
        </w:tc>
        <w:tc>
          <w:tcPr>
            <w:tcW w:w="2070" w:type="dxa"/>
          </w:tcPr>
          <w:p w:rsidR="001F1B70" w:rsidRPr="00D67CA6" w:rsidRDefault="00D67CA6">
            <w:pPr>
              <w:spacing w:line="252"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10.0</w:t>
            </w:r>
          </w:p>
        </w:tc>
      </w:tr>
      <w:tr w:rsidR="001F1B70" w:rsidRPr="00D67CA6" w:rsidTr="004B01CE">
        <w:tc>
          <w:tcPr>
            <w:cnfStyle w:val="001000000000" w:firstRow="0" w:lastRow="0" w:firstColumn="1" w:lastColumn="0" w:oddVBand="0" w:evenVBand="0" w:oddHBand="0" w:evenHBand="0" w:firstRowFirstColumn="0" w:firstRowLastColumn="0" w:lastRowFirstColumn="0" w:lastRowLastColumn="0"/>
            <w:tcW w:w="3438" w:type="dxa"/>
          </w:tcPr>
          <w:p w:rsidR="001F1B70" w:rsidRPr="00D67CA6" w:rsidRDefault="00D67CA6">
            <w:pPr>
              <w:spacing w:line="252" w:lineRule="auto"/>
              <w:rPr>
                <w:rFonts w:asciiTheme="minorBidi" w:hAnsiTheme="minorBidi" w:cstheme="minorBidi"/>
                <w:sz w:val="18"/>
                <w:szCs w:val="18"/>
              </w:rPr>
            </w:pPr>
            <w:r w:rsidRPr="00D67CA6">
              <w:rPr>
                <w:rFonts w:asciiTheme="minorBidi" w:hAnsiTheme="minorBidi" w:cstheme="minorBidi"/>
                <w:b w:val="0"/>
                <w:sz w:val="18"/>
                <w:szCs w:val="18"/>
              </w:rPr>
              <w:t>Door Area (3’ x 7’)</w:t>
            </w:r>
          </w:p>
        </w:tc>
        <w:tc>
          <w:tcPr>
            <w:tcW w:w="1440" w:type="dxa"/>
          </w:tcPr>
          <w:p w:rsidR="001F1B70" w:rsidRPr="00D67CA6" w:rsidRDefault="00D67CA6">
            <w:pPr>
              <w:spacing w:line="252"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A</w:t>
            </w:r>
          </w:p>
        </w:tc>
        <w:tc>
          <w:tcPr>
            <w:tcW w:w="1530" w:type="dxa"/>
          </w:tcPr>
          <w:p w:rsidR="001F1B70" w:rsidRPr="00D67CA6" w:rsidRDefault="00D67CA6">
            <w:pPr>
              <w:spacing w:line="252"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ft2</w:t>
            </w:r>
          </w:p>
        </w:tc>
        <w:tc>
          <w:tcPr>
            <w:tcW w:w="2070" w:type="dxa"/>
          </w:tcPr>
          <w:p w:rsidR="001F1B70" w:rsidRPr="00D67CA6" w:rsidRDefault="00D67CA6">
            <w:pPr>
              <w:spacing w:line="252"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21.0</w:t>
            </w:r>
          </w:p>
        </w:tc>
      </w:tr>
      <w:tr w:rsidR="001F1B70" w:rsidRPr="00D67CA6" w:rsidTr="004B0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1F1B70" w:rsidRPr="00D67CA6" w:rsidRDefault="00D67CA6">
            <w:pPr>
              <w:spacing w:line="252" w:lineRule="auto"/>
              <w:rPr>
                <w:rFonts w:asciiTheme="minorBidi" w:hAnsiTheme="minorBidi" w:cstheme="minorBidi"/>
                <w:sz w:val="18"/>
                <w:szCs w:val="18"/>
              </w:rPr>
            </w:pPr>
            <w:r w:rsidRPr="00D67CA6">
              <w:rPr>
                <w:rFonts w:asciiTheme="minorBidi" w:hAnsiTheme="minorBidi" w:cstheme="minorBidi"/>
                <w:b w:val="0"/>
                <w:sz w:val="18"/>
                <w:szCs w:val="18"/>
              </w:rPr>
              <w:t>Energy Content of Natural Gas</w:t>
            </w:r>
          </w:p>
        </w:tc>
        <w:tc>
          <w:tcPr>
            <w:tcW w:w="1440" w:type="dxa"/>
          </w:tcPr>
          <w:p w:rsidR="001F1B70" w:rsidRPr="00D67CA6" w:rsidRDefault="00D67CA6">
            <w:pPr>
              <w:spacing w:line="252"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ECNG</w:t>
            </w:r>
          </w:p>
        </w:tc>
        <w:tc>
          <w:tcPr>
            <w:tcW w:w="1530" w:type="dxa"/>
          </w:tcPr>
          <w:p w:rsidR="001F1B70" w:rsidRPr="00D67CA6" w:rsidRDefault="00D67CA6">
            <w:pPr>
              <w:spacing w:line="252"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BTU/cf</w:t>
            </w:r>
          </w:p>
        </w:tc>
        <w:tc>
          <w:tcPr>
            <w:tcW w:w="2070" w:type="dxa"/>
          </w:tcPr>
          <w:p w:rsidR="001F1B70" w:rsidRPr="00D67CA6" w:rsidRDefault="00D67CA6">
            <w:pPr>
              <w:spacing w:line="252"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1000</w:t>
            </w:r>
          </w:p>
        </w:tc>
      </w:tr>
      <w:tr w:rsidR="001F1B70" w:rsidRPr="00D67CA6" w:rsidTr="004B01CE">
        <w:tc>
          <w:tcPr>
            <w:cnfStyle w:val="001000000000" w:firstRow="0" w:lastRow="0" w:firstColumn="1" w:lastColumn="0" w:oddVBand="0" w:evenVBand="0" w:oddHBand="0" w:evenHBand="0" w:firstRowFirstColumn="0" w:firstRowLastColumn="0" w:lastRowFirstColumn="0" w:lastRowLastColumn="0"/>
            <w:tcW w:w="3438" w:type="dxa"/>
          </w:tcPr>
          <w:p w:rsidR="001F1B70" w:rsidRPr="00D67CA6" w:rsidRDefault="00D67CA6">
            <w:pPr>
              <w:spacing w:line="252" w:lineRule="auto"/>
              <w:rPr>
                <w:rFonts w:asciiTheme="minorBidi" w:hAnsiTheme="minorBidi" w:cstheme="minorBidi"/>
                <w:sz w:val="18"/>
                <w:szCs w:val="18"/>
              </w:rPr>
            </w:pPr>
            <w:r w:rsidRPr="00D67CA6">
              <w:rPr>
                <w:rFonts w:asciiTheme="minorBidi" w:hAnsiTheme="minorBidi" w:cstheme="minorBidi"/>
                <w:b w:val="0"/>
                <w:sz w:val="18"/>
                <w:szCs w:val="18"/>
              </w:rPr>
              <w:t>Heating Degree Days</w:t>
            </w:r>
          </w:p>
        </w:tc>
        <w:tc>
          <w:tcPr>
            <w:tcW w:w="1440" w:type="dxa"/>
          </w:tcPr>
          <w:p w:rsidR="001F1B70" w:rsidRPr="00D67CA6" w:rsidRDefault="00D67CA6">
            <w:pPr>
              <w:spacing w:line="252"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HDD</w:t>
            </w:r>
          </w:p>
        </w:tc>
        <w:tc>
          <w:tcPr>
            <w:tcW w:w="1530" w:type="dxa"/>
          </w:tcPr>
          <w:p w:rsidR="001F1B70" w:rsidRPr="00D67CA6" w:rsidRDefault="00D67CA6">
            <w:pPr>
              <w:spacing w:line="252"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°F-day</w:t>
            </w:r>
          </w:p>
        </w:tc>
        <w:tc>
          <w:tcPr>
            <w:tcW w:w="2070" w:type="dxa"/>
          </w:tcPr>
          <w:p w:rsidR="001F1B70" w:rsidRPr="00D67CA6" w:rsidRDefault="00D67CA6">
            <w:pPr>
              <w:spacing w:line="252"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6000</w:t>
            </w:r>
          </w:p>
        </w:tc>
      </w:tr>
      <w:tr w:rsidR="001F1B70" w:rsidRPr="00D67CA6" w:rsidTr="004B0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1F1B70" w:rsidRPr="00D67CA6" w:rsidRDefault="00D67CA6">
            <w:pPr>
              <w:spacing w:line="252" w:lineRule="auto"/>
              <w:rPr>
                <w:rFonts w:asciiTheme="minorBidi" w:hAnsiTheme="minorBidi" w:cstheme="minorBidi"/>
                <w:sz w:val="18"/>
                <w:szCs w:val="18"/>
              </w:rPr>
            </w:pPr>
            <w:r w:rsidRPr="00D67CA6">
              <w:rPr>
                <w:rFonts w:asciiTheme="minorBidi" w:hAnsiTheme="minorBidi" w:cstheme="minorBidi"/>
                <w:b w:val="0"/>
                <w:sz w:val="18"/>
                <w:szCs w:val="18"/>
              </w:rPr>
              <w:t>Heating System Efficiency</w:t>
            </w:r>
          </w:p>
        </w:tc>
        <w:tc>
          <w:tcPr>
            <w:tcW w:w="1440" w:type="dxa"/>
          </w:tcPr>
          <w:p w:rsidR="001F1B70" w:rsidRPr="00D67CA6" w:rsidRDefault="00D67CA6">
            <w:pPr>
              <w:spacing w:line="252"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EffHTG</w:t>
            </w:r>
          </w:p>
        </w:tc>
        <w:tc>
          <w:tcPr>
            <w:tcW w:w="1530" w:type="dxa"/>
          </w:tcPr>
          <w:p w:rsidR="001F1B70" w:rsidRPr="00D67CA6" w:rsidRDefault="00D67CA6">
            <w:pPr>
              <w:spacing w:line="252"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w:t>
            </w:r>
          </w:p>
        </w:tc>
        <w:tc>
          <w:tcPr>
            <w:tcW w:w="2070" w:type="dxa"/>
          </w:tcPr>
          <w:p w:rsidR="001F1B70" w:rsidRPr="00D67CA6" w:rsidRDefault="00D67CA6">
            <w:pPr>
              <w:spacing w:line="252"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85</w:t>
            </w:r>
          </w:p>
        </w:tc>
      </w:tr>
      <w:tr w:rsidR="001F1B70" w:rsidRPr="00D67CA6" w:rsidTr="004B01CE">
        <w:tc>
          <w:tcPr>
            <w:cnfStyle w:val="001000000000" w:firstRow="0" w:lastRow="0" w:firstColumn="1" w:lastColumn="0" w:oddVBand="0" w:evenVBand="0" w:oddHBand="0" w:evenHBand="0" w:firstRowFirstColumn="0" w:firstRowLastColumn="0" w:lastRowFirstColumn="0" w:lastRowLastColumn="0"/>
            <w:tcW w:w="3438" w:type="dxa"/>
          </w:tcPr>
          <w:p w:rsidR="001F1B70" w:rsidRPr="00D67CA6" w:rsidRDefault="00D67CA6">
            <w:pPr>
              <w:spacing w:line="252" w:lineRule="auto"/>
              <w:rPr>
                <w:rFonts w:asciiTheme="minorBidi" w:hAnsiTheme="minorBidi" w:cstheme="minorBidi"/>
                <w:sz w:val="18"/>
                <w:szCs w:val="18"/>
              </w:rPr>
            </w:pPr>
            <w:r w:rsidRPr="00D67CA6">
              <w:rPr>
                <w:rFonts w:asciiTheme="minorBidi" w:hAnsiTheme="minorBidi" w:cstheme="minorBidi"/>
                <w:b w:val="0"/>
                <w:sz w:val="18"/>
                <w:szCs w:val="18"/>
              </w:rPr>
              <w:t>Specific Heat Capacity of Air</w:t>
            </w:r>
          </w:p>
        </w:tc>
        <w:tc>
          <w:tcPr>
            <w:tcW w:w="1440" w:type="dxa"/>
          </w:tcPr>
          <w:p w:rsidR="001F1B70" w:rsidRPr="00D67CA6" w:rsidRDefault="00D67CA6">
            <w:pPr>
              <w:spacing w:line="252"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cp</w:t>
            </w:r>
          </w:p>
        </w:tc>
        <w:tc>
          <w:tcPr>
            <w:tcW w:w="1530" w:type="dxa"/>
          </w:tcPr>
          <w:p w:rsidR="001F1B70" w:rsidRPr="00D67CA6" w:rsidRDefault="00D67CA6">
            <w:pPr>
              <w:spacing w:line="252"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BTU/lbm-°F</w:t>
            </w:r>
          </w:p>
        </w:tc>
        <w:tc>
          <w:tcPr>
            <w:tcW w:w="2070" w:type="dxa"/>
          </w:tcPr>
          <w:p w:rsidR="001F1B70" w:rsidRPr="00D67CA6" w:rsidRDefault="00D67CA6">
            <w:pPr>
              <w:spacing w:line="252"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0.2400</w:t>
            </w:r>
          </w:p>
        </w:tc>
      </w:tr>
      <w:tr w:rsidR="001F1B70" w:rsidRPr="00D67CA6" w:rsidTr="004B0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1F1B70" w:rsidRPr="00D67CA6" w:rsidRDefault="00D67CA6">
            <w:pPr>
              <w:spacing w:line="252" w:lineRule="auto"/>
              <w:rPr>
                <w:rFonts w:asciiTheme="minorBidi" w:hAnsiTheme="minorBidi" w:cstheme="minorBidi"/>
                <w:sz w:val="18"/>
                <w:szCs w:val="18"/>
              </w:rPr>
            </w:pPr>
            <w:r w:rsidRPr="00D67CA6">
              <w:rPr>
                <w:rFonts w:asciiTheme="minorBidi" w:hAnsiTheme="minorBidi" w:cstheme="minorBidi"/>
                <w:b w:val="0"/>
                <w:sz w:val="18"/>
                <w:szCs w:val="18"/>
              </w:rPr>
              <w:t>Test Pressure</w:t>
            </w:r>
          </w:p>
        </w:tc>
        <w:tc>
          <w:tcPr>
            <w:tcW w:w="1440" w:type="dxa"/>
          </w:tcPr>
          <w:p w:rsidR="001F1B70" w:rsidRPr="00D67CA6" w:rsidRDefault="00D67CA6">
            <w:pPr>
              <w:spacing w:line="252"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P75</w:t>
            </w:r>
          </w:p>
        </w:tc>
        <w:tc>
          <w:tcPr>
            <w:tcW w:w="1530" w:type="dxa"/>
          </w:tcPr>
          <w:p w:rsidR="001F1B70" w:rsidRPr="00D67CA6" w:rsidRDefault="00D67CA6">
            <w:pPr>
              <w:spacing w:line="252"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Pa</w:t>
            </w:r>
          </w:p>
        </w:tc>
        <w:tc>
          <w:tcPr>
            <w:tcW w:w="2070" w:type="dxa"/>
          </w:tcPr>
          <w:p w:rsidR="001F1B70" w:rsidRPr="00D67CA6" w:rsidRDefault="00D67CA6">
            <w:pPr>
              <w:spacing w:line="252"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8"/>
                <w:szCs w:val="18"/>
              </w:rPr>
            </w:pPr>
            <w:r w:rsidRPr="00D67CA6">
              <w:rPr>
                <w:rFonts w:asciiTheme="minorBidi" w:hAnsiTheme="minorBidi" w:cstheme="minorBidi"/>
                <w:sz w:val="18"/>
                <w:szCs w:val="18"/>
              </w:rPr>
              <w:t>75</w:t>
            </w:r>
          </w:p>
        </w:tc>
      </w:tr>
    </w:tbl>
    <w:p w:rsidR="00D67CA6" w:rsidRPr="00D67CA6" w:rsidRDefault="00D67CA6" w:rsidP="00D67CA6">
      <w:pPr>
        <w:keepNext/>
        <w:keepLines/>
        <w:pBdr>
          <w:top w:val="none" w:sz="0" w:space="0" w:color="000000"/>
          <w:left w:val="none" w:sz="0" w:space="0" w:color="000000"/>
          <w:bottom w:val="none" w:sz="0" w:space="0" w:color="000000"/>
          <w:right w:val="none" w:sz="0" w:space="0" w:color="000000"/>
          <w:between w:val="none" w:sz="0" w:space="0" w:color="000000"/>
        </w:pBdr>
        <w:spacing w:after="162" w:line="259" w:lineRule="auto"/>
        <w:ind w:left="612"/>
      </w:pPr>
    </w:p>
    <w:p w:rsidR="001F1B70" w:rsidRDefault="00D67CA6">
      <w:pPr>
        <w:keepNext/>
        <w:keepLines/>
        <w:numPr>
          <w:ilvl w:val="1"/>
          <w:numId w:val="24"/>
        </w:numPr>
        <w:pBdr>
          <w:top w:val="none" w:sz="0" w:space="0" w:color="000000"/>
          <w:left w:val="none" w:sz="0" w:space="0" w:color="000000"/>
          <w:bottom w:val="none" w:sz="0" w:space="0" w:color="000000"/>
          <w:right w:val="none" w:sz="0" w:space="0" w:color="000000"/>
          <w:between w:val="none" w:sz="0" w:space="0" w:color="000000"/>
        </w:pBdr>
        <w:spacing w:after="162" w:line="259" w:lineRule="auto"/>
        <w:ind w:hanging="612"/>
      </w:pPr>
      <w:r>
        <w:rPr>
          <w:rFonts w:ascii="Calibri" w:eastAsia="Calibri" w:hAnsi="Calibri" w:cs="Calibri"/>
          <w:b/>
          <w:smallCaps/>
          <w:color w:val="000000"/>
          <w:sz w:val="22"/>
          <w:szCs w:val="22"/>
        </w:rPr>
        <w:t>Effects of Overall Thermal Resistance (R-Value)</w:t>
      </w:r>
    </w:p>
    <w:p w:rsidR="001F1B70" w:rsidRDefault="00D67CA6" w:rsidP="004B01CE">
      <w:r>
        <w:t xml:space="preserve">The effects of Thermal Resistance are calculated by determining Heating and Cooling Load due to R-Value.  </w:t>
      </w:r>
    </w:p>
    <w:p w:rsidR="001F1B70" w:rsidRDefault="00D67CA6">
      <w:pPr>
        <w:jc w:val="both"/>
      </w:pPr>
      <w:r>
        <w:t>The Annual Heating and Cooling Load due to R-Value are determined according to Equations (1) and (2).</w:t>
      </w:r>
    </w:p>
    <w:p w:rsidR="001F1B70" w:rsidRDefault="00D67CA6">
      <w:pPr>
        <w:ind w:left="720"/>
        <w:jc w:val="both"/>
      </w:pPr>
      <w:r>
        <w:t>Q</w:t>
      </w:r>
      <w:r>
        <w:rPr>
          <w:vertAlign w:val="subscript"/>
        </w:rPr>
        <w:t>R-HTG</w:t>
      </w:r>
      <w:r>
        <w:t xml:space="preserve"> = (HDD * A * 24) / R</w:t>
      </w:r>
      <w:r>
        <w:rPr>
          <w:vertAlign w:val="subscript"/>
        </w:rPr>
        <w:t>u</w:t>
      </w:r>
      <w:r>
        <w:tab/>
      </w:r>
      <w:r>
        <w:tab/>
      </w:r>
      <w:r>
        <w:tab/>
      </w:r>
      <w:r>
        <w:tab/>
      </w:r>
      <w:r>
        <w:tab/>
        <w:t>(1)</w:t>
      </w:r>
    </w:p>
    <w:p w:rsidR="001F1B70" w:rsidRDefault="00D67CA6" w:rsidP="004B01CE">
      <w:pPr>
        <w:ind w:left="720"/>
        <w:jc w:val="both"/>
      </w:pPr>
      <w:r>
        <w:t xml:space="preserve"> Where:</w:t>
      </w:r>
      <w:r>
        <w:tab/>
        <w:t>Q</w:t>
      </w:r>
      <w:r>
        <w:rPr>
          <w:vertAlign w:val="subscript"/>
        </w:rPr>
        <w:t>R-HTG</w:t>
      </w:r>
      <w:r>
        <w:t xml:space="preserve"> </w:t>
      </w:r>
      <w:r>
        <w:tab/>
        <w:t>= Annual Heating Load due to R-Value (BTU)</w:t>
      </w:r>
      <w:r>
        <w:tab/>
      </w:r>
      <w:r>
        <w:tab/>
      </w:r>
      <w:r>
        <w:tab/>
      </w:r>
    </w:p>
    <w:p w:rsidR="001F1B70" w:rsidRPr="004B01CE" w:rsidRDefault="00D67CA6">
      <w:pPr>
        <w:tabs>
          <w:tab w:val="left" w:pos="1620"/>
          <w:tab w:val="left" w:pos="2520"/>
        </w:tabs>
        <w:ind w:left="720"/>
        <w:jc w:val="both"/>
        <w:rPr>
          <w:u w:val="single"/>
        </w:rPr>
      </w:pPr>
      <w:r>
        <w:tab/>
        <w:t xml:space="preserve">HDD </w:t>
      </w:r>
      <w:r>
        <w:tab/>
        <w:t xml:space="preserve">= Heating </w:t>
      </w:r>
      <w:r w:rsidRPr="004B01CE">
        <w:t>Degree Days (°F-day) =</w:t>
      </w:r>
      <w:r w:rsidRPr="004B01CE">
        <w:rPr>
          <w:b/>
        </w:rPr>
        <w:t xml:space="preserve"> </w:t>
      </w:r>
      <w:r w:rsidRPr="004B01CE">
        <w:rPr>
          <w:b/>
          <w:u w:val="single"/>
        </w:rPr>
        <w:t>6000</w:t>
      </w:r>
    </w:p>
    <w:p w:rsidR="001F1B70" w:rsidRPr="004B01CE" w:rsidRDefault="00D67CA6">
      <w:pPr>
        <w:tabs>
          <w:tab w:val="left" w:pos="1620"/>
          <w:tab w:val="left" w:pos="2520"/>
        </w:tabs>
        <w:ind w:left="720"/>
        <w:jc w:val="both"/>
        <w:rPr>
          <w:u w:val="single"/>
        </w:rPr>
      </w:pPr>
      <w:r w:rsidRPr="004B01CE">
        <w:tab/>
        <w:t>A</w:t>
      </w:r>
      <w:r w:rsidRPr="004B01CE">
        <w:tab/>
        <w:t>= Door Area (ft</w:t>
      </w:r>
      <w:r w:rsidRPr="004B01CE">
        <w:rPr>
          <w:vertAlign w:val="superscript"/>
        </w:rPr>
        <w:t>2</w:t>
      </w:r>
      <w:r w:rsidRPr="004B01CE">
        <w:t xml:space="preserve">) </w:t>
      </w:r>
      <w:r w:rsidRPr="004B01CE">
        <w:rPr>
          <w:bCs/>
        </w:rPr>
        <w:t>=</w:t>
      </w:r>
      <w:r w:rsidRPr="004B01CE">
        <w:rPr>
          <w:b/>
        </w:rPr>
        <w:t xml:space="preserve"> </w:t>
      </w:r>
      <w:r w:rsidRPr="004B01CE">
        <w:rPr>
          <w:b/>
          <w:u w:val="single"/>
        </w:rPr>
        <w:t>21.0</w:t>
      </w:r>
    </w:p>
    <w:p w:rsidR="001F1B70" w:rsidRPr="004B01CE" w:rsidRDefault="00D67CA6" w:rsidP="004B01CE">
      <w:pPr>
        <w:tabs>
          <w:tab w:val="left" w:pos="1620"/>
          <w:tab w:val="left" w:pos="2520"/>
        </w:tabs>
        <w:ind w:left="1440"/>
        <w:jc w:val="both"/>
      </w:pPr>
      <w:r w:rsidRPr="004B01CE">
        <w:tab/>
        <w:t>R</w:t>
      </w:r>
      <w:r w:rsidRPr="004B01CE">
        <w:rPr>
          <w:vertAlign w:val="subscript"/>
        </w:rPr>
        <w:t>u</w:t>
      </w:r>
      <w:r w:rsidRPr="004B01CE">
        <w:t xml:space="preserve"> </w:t>
      </w:r>
      <w:r w:rsidRPr="004B01CE">
        <w:tab/>
        <w:t>= Overall Thermal Resistance, R-Value (hr-ft</w:t>
      </w:r>
      <w:r w:rsidRPr="004B01CE">
        <w:rPr>
          <w:vertAlign w:val="superscript"/>
        </w:rPr>
        <w:t>2</w:t>
      </w:r>
      <w:r w:rsidRPr="004B01CE">
        <w:t>-°F/BTU)</w:t>
      </w:r>
      <w:r w:rsidRPr="004B01CE">
        <w:tab/>
      </w:r>
    </w:p>
    <w:p w:rsidR="001F1B70" w:rsidRPr="004B01CE" w:rsidRDefault="00D67CA6">
      <w:pPr>
        <w:ind w:left="720"/>
        <w:jc w:val="both"/>
      </w:pPr>
      <w:r w:rsidRPr="004B01CE">
        <w:t>Q</w:t>
      </w:r>
      <w:r w:rsidRPr="004B01CE">
        <w:rPr>
          <w:vertAlign w:val="subscript"/>
        </w:rPr>
        <w:t>R-CLG</w:t>
      </w:r>
      <w:r w:rsidRPr="004B01CE">
        <w:t xml:space="preserve"> = (CDD * A * 24) / R</w:t>
      </w:r>
      <w:r w:rsidRPr="004B01CE">
        <w:rPr>
          <w:vertAlign w:val="subscript"/>
        </w:rPr>
        <w:t>u</w:t>
      </w:r>
      <w:r w:rsidRPr="004B01CE">
        <w:tab/>
      </w:r>
      <w:r w:rsidRPr="004B01CE">
        <w:tab/>
      </w:r>
      <w:r w:rsidRPr="004B01CE">
        <w:tab/>
      </w:r>
      <w:r w:rsidRPr="004B01CE">
        <w:tab/>
      </w:r>
      <w:r w:rsidRPr="004B01CE">
        <w:tab/>
        <w:t>(2)</w:t>
      </w:r>
    </w:p>
    <w:p w:rsidR="001F1B70" w:rsidRPr="004B01CE" w:rsidRDefault="00D67CA6">
      <w:pPr>
        <w:tabs>
          <w:tab w:val="left" w:pos="1620"/>
          <w:tab w:val="left" w:pos="2520"/>
        </w:tabs>
        <w:ind w:left="720"/>
        <w:jc w:val="both"/>
      </w:pPr>
      <w:r w:rsidRPr="004B01CE">
        <w:t>Where:</w:t>
      </w:r>
      <w:r w:rsidRPr="004B01CE">
        <w:tab/>
        <w:t>Q</w:t>
      </w:r>
      <w:r w:rsidRPr="004B01CE">
        <w:rPr>
          <w:vertAlign w:val="subscript"/>
        </w:rPr>
        <w:t>R-CLG</w:t>
      </w:r>
      <w:r w:rsidRPr="004B01CE">
        <w:t xml:space="preserve"> </w:t>
      </w:r>
      <w:r w:rsidRPr="004B01CE">
        <w:tab/>
        <w:t>= Annual Cooling Load due to R-Value (BTU)</w:t>
      </w:r>
      <w:r w:rsidRPr="004B01CE">
        <w:tab/>
      </w:r>
      <w:r w:rsidRPr="004B01CE">
        <w:tab/>
      </w:r>
      <w:r w:rsidRPr="004B01CE">
        <w:tab/>
      </w:r>
    </w:p>
    <w:p w:rsidR="001F1B70" w:rsidRPr="004B01CE" w:rsidRDefault="00D67CA6">
      <w:pPr>
        <w:tabs>
          <w:tab w:val="left" w:pos="1620"/>
          <w:tab w:val="left" w:pos="2520"/>
        </w:tabs>
        <w:ind w:left="720"/>
        <w:jc w:val="both"/>
        <w:rPr>
          <w:b/>
          <w:u w:val="single"/>
        </w:rPr>
      </w:pPr>
      <w:r w:rsidRPr="004B01CE">
        <w:tab/>
        <w:t xml:space="preserve">CDD </w:t>
      </w:r>
      <w:r w:rsidRPr="004B01CE">
        <w:tab/>
        <w:t xml:space="preserve">= Cooling Degree Days (°F-day) = </w:t>
      </w:r>
      <w:r w:rsidRPr="004B01CE">
        <w:rPr>
          <w:b/>
          <w:u w:val="single"/>
        </w:rPr>
        <w:t>1000</w:t>
      </w:r>
    </w:p>
    <w:p w:rsidR="001F1B70" w:rsidRPr="004B01CE" w:rsidRDefault="00D67CA6">
      <w:pPr>
        <w:tabs>
          <w:tab w:val="left" w:pos="1620"/>
          <w:tab w:val="left" w:pos="2520"/>
        </w:tabs>
        <w:ind w:left="720"/>
        <w:jc w:val="both"/>
        <w:rPr>
          <w:b/>
          <w:u w:val="single"/>
        </w:rPr>
      </w:pPr>
      <w:r w:rsidRPr="004B01CE">
        <w:tab/>
        <w:t>A</w:t>
      </w:r>
      <w:r w:rsidRPr="004B01CE">
        <w:tab/>
        <w:t>= Door Area (ft</w:t>
      </w:r>
      <w:r w:rsidRPr="004B01CE">
        <w:rPr>
          <w:vertAlign w:val="superscript"/>
        </w:rPr>
        <w:t>2</w:t>
      </w:r>
      <w:r w:rsidRPr="004B01CE">
        <w:t xml:space="preserve">) = </w:t>
      </w:r>
      <w:r w:rsidRPr="004B01CE">
        <w:rPr>
          <w:b/>
          <w:u w:val="single"/>
        </w:rPr>
        <w:t>21.0</w:t>
      </w:r>
    </w:p>
    <w:p w:rsidR="001F1B70" w:rsidRDefault="00D67CA6">
      <w:pPr>
        <w:tabs>
          <w:tab w:val="left" w:pos="1620"/>
          <w:tab w:val="left" w:pos="2520"/>
        </w:tabs>
        <w:ind w:left="1440"/>
        <w:jc w:val="both"/>
      </w:pPr>
      <w:r w:rsidRPr="004B01CE">
        <w:tab/>
        <w:t>R</w:t>
      </w:r>
      <w:r w:rsidRPr="004B01CE">
        <w:rPr>
          <w:vertAlign w:val="subscript"/>
        </w:rPr>
        <w:t>u</w:t>
      </w:r>
      <w:r w:rsidRPr="004B01CE">
        <w:t xml:space="preserve"> </w:t>
      </w:r>
      <w:r w:rsidRPr="004B01CE">
        <w:tab/>
        <w:t>= Overall Thermal Resistance, R</w:t>
      </w:r>
      <w:r>
        <w:t>-Value (hr-ft</w:t>
      </w:r>
      <w:r>
        <w:rPr>
          <w:vertAlign w:val="superscript"/>
        </w:rPr>
        <w:t>2</w:t>
      </w:r>
      <w:r>
        <w:t>-°F/BTU)</w:t>
      </w:r>
    </w:p>
    <w:p w:rsidR="001F1B70" w:rsidRDefault="00D67CA6">
      <w:pPr>
        <w:keepNext/>
        <w:keepLines/>
        <w:numPr>
          <w:ilvl w:val="1"/>
          <w:numId w:val="24"/>
        </w:numPr>
        <w:pBdr>
          <w:top w:val="none" w:sz="0" w:space="0" w:color="000000"/>
          <w:left w:val="none" w:sz="0" w:space="0" w:color="000000"/>
          <w:bottom w:val="none" w:sz="0" w:space="0" w:color="000000"/>
          <w:right w:val="none" w:sz="0" w:space="0" w:color="000000"/>
          <w:between w:val="none" w:sz="0" w:space="0" w:color="000000"/>
        </w:pBdr>
        <w:spacing w:after="162" w:line="259" w:lineRule="auto"/>
        <w:ind w:hanging="612"/>
      </w:pPr>
      <w:r>
        <w:rPr>
          <w:rFonts w:ascii="Calibri" w:eastAsia="Calibri" w:hAnsi="Calibri" w:cs="Calibri"/>
          <w:b/>
          <w:smallCaps/>
          <w:color w:val="000000"/>
          <w:sz w:val="22"/>
          <w:szCs w:val="22"/>
        </w:rPr>
        <w:t>Effects of Air Leakage</w:t>
      </w:r>
    </w:p>
    <w:p w:rsidR="001F1B70" w:rsidRDefault="00D67CA6">
      <w:pPr>
        <w:jc w:val="both"/>
      </w:pPr>
      <w:r>
        <w:t xml:space="preserve">The effects of Air Leakage are calculated by determining Heating and Cooling Load due to Air Leakage.  </w:t>
      </w:r>
    </w:p>
    <w:p w:rsidR="001F1B70" w:rsidRDefault="00D67CA6" w:rsidP="004B01CE">
      <w:r>
        <w:t xml:space="preserve">The Air Leakage Rate typically published for doors and other fenestration products is measured at a differential pressure of 75 Pa. This relates to a wind speed on the product of approximately 25 mph. This is an unrealistic everyday condition, so the rate must be adjusted to a more nominal value. </w:t>
      </w:r>
    </w:p>
    <w:p w:rsidR="001F1B70" w:rsidRDefault="00D67CA6">
      <w:pPr>
        <w:jc w:val="both"/>
      </w:pPr>
      <w:r>
        <w:t xml:space="preserve">Equation (3) </w:t>
      </w:r>
      <w:r w:rsidR="00811E40">
        <w:t>approximates</w:t>
      </w:r>
      <w:r>
        <w:t xml:space="preserve"> the conversion of wind speed (mph) to pressure (Pa).</w:t>
      </w:r>
    </w:p>
    <w:p w:rsidR="001F1B70" w:rsidRDefault="00D67CA6">
      <w:pPr>
        <w:ind w:left="720"/>
      </w:pPr>
      <w:r>
        <w:t>P</w:t>
      </w:r>
      <w:r>
        <w:rPr>
          <w:vertAlign w:val="subscript"/>
        </w:rPr>
        <w:t>act</w:t>
      </w:r>
      <w:r>
        <w:t xml:space="preserve"> = 0.1143 * v</w:t>
      </w:r>
      <w:r>
        <w:rPr>
          <w:vertAlign w:val="superscript"/>
        </w:rPr>
        <w:t>2</w:t>
      </w:r>
      <w:r>
        <w:t xml:space="preserve"> + 0.4286 * v – 7.1429 = </w:t>
      </w:r>
      <w:r>
        <w:rPr>
          <w:b/>
          <w:u w:val="single"/>
        </w:rPr>
        <w:t>1.458 Pa</w:t>
      </w:r>
      <w:r>
        <w:rPr>
          <w:b/>
        </w:rPr>
        <w:tab/>
      </w:r>
      <w:r>
        <w:tab/>
      </w:r>
      <w:r>
        <w:tab/>
        <w:t>(3)</w:t>
      </w:r>
    </w:p>
    <w:p w:rsidR="001F1B70" w:rsidRDefault="00D67CA6">
      <w:pPr>
        <w:tabs>
          <w:tab w:val="left" w:pos="1620"/>
          <w:tab w:val="left" w:pos="2520"/>
        </w:tabs>
        <w:ind w:left="720"/>
        <w:jc w:val="both"/>
      </w:pPr>
      <w:r>
        <w:t>Where:</w:t>
      </w:r>
      <w:r>
        <w:tab/>
        <w:t>P</w:t>
      </w:r>
      <w:r>
        <w:rPr>
          <w:vertAlign w:val="subscript"/>
        </w:rPr>
        <w:t>act</w:t>
      </w:r>
      <w:r>
        <w:t xml:space="preserve"> </w:t>
      </w:r>
      <w:r>
        <w:tab/>
        <w:t>= Actual Pressure (Pa)</w:t>
      </w:r>
    </w:p>
    <w:p w:rsidR="001F1B70" w:rsidRDefault="00D67CA6">
      <w:pPr>
        <w:tabs>
          <w:tab w:val="left" w:pos="1620"/>
          <w:tab w:val="left" w:pos="2520"/>
        </w:tabs>
        <w:ind w:left="720"/>
        <w:jc w:val="both"/>
        <w:rPr>
          <w:b/>
          <w:i/>
          <w:u w:val="single"/>
        </w:rPr>
      </w:pPr>
      <w:r>
        <w:tab/>
        <w:t xml:space="preserve">v </w:t>
      </w:r>
      <w:r>
        <w:tab/>
        <w:t xml:space="preserve">= Average Wind Speed (mph) = </w:t>
      </w:r>
      <w:r w:rsidRPr="004B01CE">
        <w:rPr>
          <w:b/>
          <w:iCs/>
          <w:u w:val="single"/>
        </w:rPr>
        <w:t>7.0</w:t>
      </w:r>
    </w:p>
    <w:p w:rsidR="001F1B70" w:rsidRDefault="00D67CA6">
      <w:pPr>
        <w:jc w:val="both"/>
      </w:pPr>
      <w:r>
        <w:t xml:space="preserve">To determine the Actual Air Leakage Rate, the Air Leakage Rate @ 75 Pa must be multiplied by a factor as indicated in equation (4). </w:t>
      </w:r>
    </w:p>
    <w:p w:rsidR="001F1B70" w:rsidRDefault="00D67CA6">
      <w:pPr>
        <w:jc w:val="both"/>
      </w:pPr>
      <w:r>
        <w:tab/>
        <w:t>AL</w:t>
      </w:r>
      <w:r>
        <w:rPr>
          <w:vertAlign w:val="subscript"/>
        </w:rPr>
        <w:t>act</w:t>
      </w:r>
      <w:r>
        <w:t xml:space="preserve"> = AL</w:t>
      </w:r>
      <w:r>
        <w:rPr>
          <w:vertAlign w:val="subscript"/>
        </w:rPr>
        <w:t>75</w:t>
      </w:r>
      <w:r>
        <w:t xml:space="preserve"> * (P</w:t>
      </w:r>
      <w:r>
        <w:rPr>
          <w:vertAlign w:val="subscript"/>
        </w:rPr>
        <w:t>act</w:t>
      </w:r>
      <w:r>
        <w:t>/P</w:t>
      </w:r>
      <w:r>
        <w:rPr>
          <w:vertAlign w:val="subscript"/>
        </w:rPr>
        <w:t>75</w:t>
      </w:r>
      <w:r>
        <w:t>)</w:t>
      </w:r>
      <w:r>
        <w:rPr>
          <w:vertAlign w:val="superscript"/>
        </w:rPr>
        <w:t xml:space="preserve">2/3 </w:t>
      </w:r>
      <w:r>
        <w:t xml:space="preserve">= </w:t>
      </w:r>
      <w:r>
        <w:rPr>
          <w:b/>
          <w:u w:val="single"/>
        </w:rPr>
        <w:t>0.02169 cfm/ft</w:t>
      </w:r>
      <w:r>
        <w:rPr>
          <w:b/>
          <w:u w:val="single"/>
          <w:vertAlign w:val="superscript"/>
        </w:rPr>
        <w:t>2</w:t>
      </w:r>
      <w:r w:rsidRPr="004B01CE">
        <w:rPr>
          <w:b/>
        </w:rPr>
        <w:tab/>
      </w:r>
      <w:r>
        <w:tab/>
      </w:r>
      <w:r>
        <w:tab/>
      </w:r>
      <w:r>
        <w:tab/>
      </w:r>
      <w:r>
        <w:tab/>
        <w:t>(4)</w:t>
      </w:r>
    </w:p>
    <w:p w:rsidR="001F1B70" w:rsidRDefault="00D67CA6">
      <w:pPr>
        <w:tabs>
          <w:tab w:val="left" w:pos="1620"/>
          <w:tab w:val="left" w:pos="2520"/>
        </w:tabs>
        <w:ind w:left="720"/>
        <w:jc w:val="both"/>
      </w:pPr>
      <w:r>
        <w:t>Where:</w:t>
      </w:r>
      <w:r>
        <w:tab/>
        <w:t>AL</w:t>
      </w:r>
      <w:r>
        <w:rPr>
          <w:vertAlign w:val="subscript"/>
        </w:rPr>
        <w:t>act</w:t>
      </w:r>
      <w:r>
        <w:t xml:space="preserve"> </w:t>
      </w:r>
      <w:r>
        <w:tab/>
        <w:t>= Actual Air Leakage Rate (cfm/ft</w:t>
      </w:r>
      <w:r>
        <w:rPr>
          <w:vertAlign w:val="superscript"/>
        </w:rPr>
        <w:t>2</w:t>
      </w:r>
      <w:r>
        <w:t>)</w:t>
      </w:r>
    </w:p>
    <w:p w:rsidR="001F1B70" w:rsidRDefault="00D67CA6">
      <w:pPr>
        <w:tabs>
          <w:tab w:val="left" w:pos="1620"/>
          <w:tab w:val="left" w:pos="2520"/>
        </w:tabs>
        <w:ind w:left="720"/>
        <w:jc w:val="both"/>
        <w:rPr>
          <w:b/>
          <w:u w:val="single"/>
        </w:rPr>
      </w:pPr>
      <w:r>
        <w:tab/>
        <w:t>AL</w:t>
      </w:r>
      <w:r>
        <w:rPr>
          <w:vertAlign w:val="subscript"/>
        </w:rPr>
        <w:t>75</w:t>
      </w:r>
      <w:r>
        <w:t xml:space="preserve"> </w:t>
      </w:r>
      <w:r>
        <w:tab/>
        <w:t>= Air Leakage Rate @ 75 Pa (cfm/ft</w:t>
      </w:r>
      <w:r>
        <w:rPr>
          <w:vertAlign w:val="superscript"/>
        </w:rPr>
        <w:t>2</w:t>
      </w:r>
      <w:r>
        <w:t xml:space="preserve">) = </w:t>
      </w:r>
      <w:r>
        <w:rPr>
          <w:b/>
          <w:u w:val="single"/>
        </w:rPr>
        <w:t>0.3</w:t>
      </w:r>
    </w:p>
    <w:p w:rsidR="001F1B70" w:rsidRDefault="00D67CA6">
      <w:pPr>
        <w:tabs>
          <w:tab w:val="left" w:pos="1620"/>
          <w:tab w:val="left" w:pos="2520"/>
        </w:tabs>
        <w:ind w:left="720"/>
        <w:jc w:val="both"/>
      </w:pPr>
      <w:r>
        <w:tab/>
        <w:t>P</w:t>
      </w:r>
      <w:r>
        <w:rPr>
          <w:vertAlign w:val="subscript"/>
        </w:rPr>
        <w:t>act</w:t>
      </w:r>
      <w:r>
        <w:t xml:space="preserve"> </w:t>
      </w:r>
      <w:r>
        <w:tab/>
        <w:t xml:space="preserve">= Actual Pressure (Pa) = </w:t>
      </w:r>
      <w:r>
        <w:rPr>
          <w:b/>
          <w:u w:val="single"/>
        </w:rPr>
        <w:t xml:space="preserve">1.458 </w:t>
      </w:r>
    </w:p>
    <w:p w:rsidR="001F1B70" w:rsidRDefault="00D67CA6">
      <w:pPr>
        <w:tabs>
          <w:tab w:val="left" w:pos="1620"/>
          <w:tab w:val="left" w:pos="2520"/>
        </w:tabs>
        <w:ind w:left="720"/>
        <w:jc w:val="both"/>
        <w:rPr>
          <w:b/>
          <w:i/>
          <w:u w:val="single"/>
        </w:rPr>
      </w:pPr>
      <w:r>
        <w:tab/>
        <w:t>P</w:t>
      </w:r>
      <w:r>
        <w:rPr>
          <w:vertAlign w:val="subscript"/>
        </w:rPr>
        <w:t>75</w:t>
      </w:r>
      <w:r>
        <w:t xml:space="preserve"> </w:t>
      </w:r>
      <w:r>
        <w:tab/>
        <w:t xml:space="preserve">= Test Pressure (Pa) = </w:t>
      </w:r>
      <w:r w:rsidRPr="004B01CE">
        <w:rPr>
          <w:b/>
          <w:iCs/>
          <w:u w:val="single"/>
        </w:rPr>
        <w:t>75</w:t>
      </w:r>
    </w:p>
    <w:p w:rsidR="001F1B70" w:rsidRDefault="00D67CA6">
      <w:pPr>
        <w:jc w:val="both"/>
      </w:pPr>
      <w:r>
        <w:t>Converting the Air Leakage Rate into a Heating or Cooling Load requires knowledge of the density and specific heat capacity of air.  Through equation (5), the Volumetric Heat Capacity is established.</w:t>
      </w:r>
    </w:p>
    <w:p w:rsidR="001F1B70" w:rsidRDefault="00D67CA6">
      <w:pPr>
        <w:ind w:left="720"/>
        <w:jc w:val="both"/>
      </w:pPr>
      <w:r>
        <w:t>VHC = ρ x c</w:t>
      </w:r>
      <w:r>
        <w:rPr>
          <w:vertAlign w:val="subscript"/>
        </w:rPr>
        <w:t>p</w:t>
      </w:r>
      <w:r>
        <w:t xml:space="preserve"> = 0.0749 x 0.2400 = </w:t>
      </w:r>
      <w:r>
        <w:rPr>
          <w:b/>
          <w:u w:val="single"/>
        </w:rPr>
        <w:t>0.017976 BTU/ft</w:t>
      </w:r>
      <w:r>
        <w:rPr>
          <w:b/>
          <w:u w:val="single"/>
          <w:vertAlign w:val="superscript"/>
        </w:rPr>
        <w:t>3</w:t>
      </w:r>
      <w:r>
        <w:rPr>
          <w:b/>
          <w:u w:val="single"/>
        </w:rPr>
        <w:t>-°F</w:t>
      </w:r>
      <w:r>
        <w:rPr>
          <w:b/>
        </w:rPr>
        <w:tab/>
      </w:r>
      <w:r>
        <w:tab/>
        <w:t>(5)</w:t>
      </w:r>
    </w:p>
    <w:p w:rsidR="001F1B70" w:rsidRDefault="00D67CA6">
      <w:pPr>
        <w:tabs>
          <w:tab w:val="left" w:pos="1620"/>
          <w:tab w:val="left" w:pos="2520"/>
        </w:tabs>
        <w:ind w:left="720"/>
        <w:jc w:val="both"/>
      </w:pPr>
      <w:r>
        <w:t>Where:</w:t>
      </w:r>
      <w:r>
        <w:tab/>
        <w:t xml:space="preserve">VHC </w:t>
      </w:r>
      <w:r>
        <w:tab/>
        <w:t>= Volumetric Heat Capacity (BTU/ft</w:t>
      </w:r>
      <w:r>
        <w:rPr>
          <w:vertAlign w:val="superscript"/>
        </w:rPr>
        <w:t>3</w:t>
      </w:r>
      <w:r>
        <w:t>-°F)</w:t>
      </w:r>
    </w:p>
    <w:p w:rsidR="001F1B70" w:rsidRPr="004B01CE" w:rsidRDefault="00D67CA6">
      <w:pPr>
        <w:tabs>
          <w:tab w:val="left" w:pos="1620"/>
          <w:tab w:val="left" w:pos="2520"/>
        </w:tabs>
        <w:jc w:val="both"/>
        <w:rPr>
          <w:b/>
          <w:u w:val="single"/>
        </w:rPr>
      </w:pPr>
      <w:r>
        <w:lastRenderedPageBreak/>
        <w:tab/>
        <w:t xml:space="preserve">ρ </w:t>
      </w:r>
      <w:r>
        <w:tab/>
        <w:t>= Air Density @ 70F, 14.696psi (lbm</w:t>
      </w:r>
      <w:r w:rsidRPr="004B01CE">
        <w:t>/ft</w:t>
      </w:r>
      <w:r w:rsidRPr="004B01CE">
        <w:rPr>
          <w:vertAlign w:val="superscript"/>
        </w:rPr>
        <w:t>3</w:t>
      </w:r>
      <w:r w:rsidRPr="004B01CE">
        <w:t xml:space="preserve">) = </w:t>
      </w:r>
      <w:r w:rsidRPr="004B01CE">
        <w:rPr>
          <w:b/>
          <w:u w:val="single"/>
        </w:rPr>
        <w:t>0.0749</w:t>
      </w:r>
    </w:p>
    <w:p w:rsidR="001F1B70" w:rsidRPr="004B01CE" w:rsidRDefault="00D67CA6">
      <w:pPr>
        <w:tabs>
          <w:tab w:val="left" w:pos="1620"/>
          <w:tab w:val="left" w:pos="2520"/>
        </w:tabs>
        <w:ind w:left="720"/>
        <w:jc w:val="both"/>
        <w:rPr>
          <w:b/>
          <w:u w:val="single"/>
        </w:rPr>
      </w:pPr>
      <w:r w:rsidRPr="004B01CE">
        <w:tab/>
        <w:t>c</w:t>
      </w:r>
      <w:r w:rsidRPr="004B01CE">
        <w:rPr>
          <w:vertAlign w:val="subscript"/>
        </w:rPr>
        <w:t>p</w:t>
      </w:r>
      <w:r w:rsidRPr="004B01CE">
        <w:t xml:space="preserve"> </w:t>
      </w:r>
      <w:r w:rsidRPr="004B01CE">
        <w:tab/>
        <w:t xml:space="preserve">= Specific Heat Capacity of Air (BTU/lbm-°F) = </w:t>
      </w:r>
      <w:r w:rsidRPr="004B01CE">
        <w:rPr>
          <w:b/>
          <w:u w:val="single"/>
        </w:rPr>
        <w:t>0.2400</w:t>
      </w:r>
    </w:p>
    <w:p w:rsidR="001F1B70" w:rsidRPr="004B01CE" w:rsidRDefault="00D67CA6">
      <w:pPr>
        <w:jc w:val="both"/>
      </w:pPr>
      <w:r w:rsidRPr="004B01CE">
        <w:t>The Annual Heating and Cooling Load Due to Air Leakage are determined according to Equations (6) and (7).</w:t>
      </w:r>
    </w:p>
    <w:p w:rsidR="001F1B70" w:rsidRDefault="00D67CA6">
      <w:pPr>
        <w:ind w:left="720"/>
        <w:jc w:val="both"/>
      </w:pPr>
      <w:r w:rsidRPr="004B01CE">
        <w:t>Q</w:t>
      </w:r>
      <w:r w:rsidRPr="004B01CE">
        <w:rPr>
          <w:vertAlign w:val="subscript"/>
        </w:rPr>
        <w:t xml:space="preserve">AL-HTG </w:t>
      </w:r>
      <w:r w:rsidRPr="004B01CE">
        <w:t>= AL</w:t>
      </w:r>
      <w:r w:rsidRPr="004B01CE">
        <w:rPr>
          <w:vertAlign w:val="subscript"/>
        </w:rPr>
        <w:t>act</w:t>
      </w:r>
      <w:r w:rsidRPr="004B01CE">
        <w:t xml:space="preserve"> * VHC * (HDD * A * 24) * 60 = </w:t>
      </w:r>
      <w:r w:rsidRPr="004B01CE">
        <w:rPr>
          <w:b/>
          <w:u w:val="single"/>
        </w:rPr>
        <w:t>70742 BTU</w:t>
      </w:r>
      <w:r w:rsidRPr="004B01CE">
        <w:tab/>
      </w:r>
      <w:r>
        <w:tab/>
        <w:t>(6)</w:t>
      </w:r>
    </w:p>
    <w:p w:rsidR="001F1B70" w:rsidRDefault="00D67CA6">
      <w:pPr>
        <w:tabs>
          <w:tab w:val="left" w:pos="1620"/>
          <w:tab w:val="left" w:pos="2520"/>
        </w:tabs>
        <w:ind w:left="720"/>
        <w:jc w:val="both"/>
      </w:pPr>
      <w:r>
        <w:t>Where:</w:t>
      </w:r>
      <w:r>
        <w:tab/>
        <w:t>Q</w:t>
      </w:r>
      <w:r>
        <w:rPr>
          <w:vertAlign w:val="subscript"/>
        </w:rPr>
        <w:t>AL-HTG</w:t>
      </w:r>
      <w:r>
        <w:t xml:space="preserve"> = Annual Heating Load due to Air Leakage (BTU)</w:t>
      </w:r>
      <w:r>
        <w:tab/>
      </w:r>
      <w:r>
        <w:tab/>
      </w:r>
      <w:r>
        <w:tab/>
      </w:r>
    </w:p>
    <w:p w:rsidR="001F1B70" w:rsidRDefault="00D67CA6">
      <w:pPr>
        <w:tabs>
          <w:tab w:val="left" w:pos="1620"/>
          <w:tab w:val="left" w:pos="2520"/>
        </w:tabs>
        <w:ind w:left="720"/>
        <w:jc w:val="both"/>
      </w:pPr>
      <w:r>
        <w:tab/>
        <w:t>AL</w:t>
      </w:r>
      <w:r>
        <w:rPr>
          <w:vertAlign w:val="subscript"/>
        </w:rPr>
        <w:t>act</w:t>
      </w:r>
      <w:r>
        <w:t xml:space="preserve"> </w:t>
      </w:r>
      <w:r>
        <w:tab/>
        <w:t>= Actual Air Leakage Rate (cfm/ft</w:t>
      </w:r>
      <w:r>
        <w:rPr>
          <w:vertAlign w:val="superscript"/>
        </w:rPr>
        <w:t>2</w:t>
      </w:r>
      <w:r>
        <w:t xml:space="preserve">) = </w:t>
      </w:r>
      <w:r>
        <w:rPr>
          <w:b/>
          <w:u w:val="single"/>
        </w:rPr>
        <w:t>0.02169</w:t>
      </w:r>
    </w:p>
    <w:p w:rsidR="001F1B70" w:rsidRPr="004B01CE" w:rsidRDefault="00D67CA6">
      <w:pPr>
        <w:tabs>
          <w:tab w:val="left" w:pos="1620"/>
          <w:tab w:val="left" w:pos="2520"/>
        </w:tabs>
        <w:ind w:left="720"/>
        <w:jc w:val="both"/>
        <w:rPr>
          <w:b/>
          <w:u w:val="single"/>
        </w:rPr>
      </w:pPr>
      <w:r>
        <w:tab/>
        <w:t xml:space="preserve">VHC </w:t>
      </w:r>
      <w:r>
        <w:tab/>
        <w:t>= Volumetric Heat Capacity (BTU/</w:t>
      </w:r>
      <w:r w:rsidRPr="004B01CE">
        <w:t>ft</w:t>
      </w:r>
      <w:r w:rsidRPr="004B01CE">
        <w:rPr>
          <w:vertAlign w:val="superscript"/>
        </w:rPr>
        <w:t>3</w:t>
      </w:r>
      <w:r w:rsidRPr="004B01CE">
        <w:t xml:space="preserve">-°F) = </w:t>
      </w:r>
      <w:r w:rsidRPr="004B01CE">
        <w:rPr>
          <w:b/>
          <w:u w:val="single"/>
        </w:rPr>
        <w:t>0.017976</w:t>
      </w:r>
    </w:p>
    <w:p w:rsidR="001F1B70" w:rsidRPr="004B01CE" w:rsidRDefault="00D67CA6">
      <w:pPr>
        <w:tabs>
          <w:tab w:val="left" w:pos="1620"/>
          <w:tab w:val="left" w:pos="2520"/>
        </w:tabs>
        <w:ind w:left="720"/>
        <w:jc w:val="both"/>
        <w:rPr>
          <w:b/>
          <w:u w:val="single"/>
        </w:rPr>
      </w:pPr>
      <w:r w:rsidRPr="004B01CE">
        <w:tab/>
        <w:t xml:space="preserve">HDD </w:t>
      </w:r>
      <w:r w:rsidRPr="004B01CE">
        <w:tab/>
        <w:t xml:space="preserve">= Heating Degree Days (°F-day) = </w:t>
      </w:r>
      <w:r w:rsidRPr="004B01CE">
        <w:rPr>
          <w:b/>
          <w:u w:val="single"/>
        </w:rPr>
        <w:t>6000</w:t>
      </w:r>
    </w:p>
    <w:p w:rsidR="001F1B70" w:rsidRPr="004B01CE" w:rsidRDefault="00D67CA6">
      <w:pPr>
        <w:tabs>
          <w:tab w:val="left" w:pos="1620"/>
          <w:tab w:val="left" w:pos="2520"/>
        </w:tabs>
        <w:ind w:left="720"/>
        <w:jc w:val="both"/>
        <w:rPr>
          <w:b/>
          <w:u w:val="single"/>
        </w:rPr>
      </w:pPr>
      <w:r w:rsidRPr="004B01CE">
        <w:tab/>
        <w:t>A</w:t>
      </w:r>
      <w:r w:rsidRPr="004B01CE">
        <w:tab/>
        <w:t>= Door Area (ft</w:t>
      </w:r>
      <w:r w:rsidRPr="004B01CE">
        <w:rPr>
          <w:vertAlign w:val="superscript"/>
        </w:rPr>
        <w:t>2</w:t>
      </w:r>
      <w:r w:rsidRPr="004B01CE">
        <w:t xml:space="preserve">) = </w:t>
      </w:r>
      <w:r w:rsidRPr="004B01CE">
        <w:rPr>
          <w:b/>
          <w:u w:val="single"/>
        </w:rPr>
        <w:t>21.0</w:t>
      </w:r>
    </w:p>
    <w:p w:rsidR="001F1B70" w:rsidRDefault="00D67CA6">
      <w:pPr>
        <w:ind w:left="720"/>
        <w:jc w:val="both"/>
      </w:pPr>
      <w:r>
        <w:t>Q</w:t>
      </w:r>
      <w:r>
        <w:rPr>
          <w:vertAlign w:val="subscript"/>
        </w:rPr>
        <w:t xml:space="preserve">AL-CLG </w:t>
      </w:r>
      <w:r>
        <w:t>= AL</w:t>
      </w:r>
      <w:r>
        <w:rPr>
          <w:vertAlign w:val="subscript"/>
        </w:rPr>
        <w:t>act</w:t>
      </w:r>
      <w:r>
        <w:t xml:space="preserve"> * VHC * (CDD * A * 24) * 60 = </w:t>
      </w:r>
      <w:r>
        <w:rPr>
          <w:b/>
          <w:u w:val="single"/>
        </w:rPr>
        <w:t>11790 BTU</w:t>
      </w:r>
      <w:r>
        <w:tab/>
      </w:r>
      <w:r>
        <w:tab/>
        <w:t>(7)</w:t>
      </w:r>
    </w:p>
    <w:p w:rsidR="001F1B70" w:rsidRDefault="00D67CA6">
      <w:pPr>
        <w:tabs>
          <w:tab w:val="left" w:pos="1620"/>
          <w:tab w:val="left" w:pos="2520"/>
        </w:tabs>
        <w:ind w:left="720"/>
        <w:jc w:val="both"/>
      </w:pPr>
      <w:r>
        <w:t>Where:</w:t>
      </w:r>
      <w:r>
        <w:tab/>
        <w:t>Q</w:t>
      </w:r>
      <w:r>
        <w:rPr>
          <w:vertAlign w:val="subscript"/>
        </w:rPr>
        <w:t>AL-CLG</w:t>
      </w:r>
      <w:r>
        <w:t xml:space="preserve"> = Annual Cooling Load due to Air Leakage (BTU)</w:t>
      </w:r>
      <w:r>
        <w:tab/>
      </w:r>
      <w:r>
        <w:tab/>
      </w:r>
      <w:r>
        <w:tab/>
      </w:r>
    </w:p>
    <w:p w:rsidR="001F1B70" w:rsidRDefault="00D67CA6">
      <w:pPr>
        <w:tabs>
          <w:tab w:val="left" w:pos="1620"/>
          <w:tab w:val="left" w:pos="2520"/>
        </w:tabs>
        <w:ind w:left="720"/>
        <w:jc w:val="both"/>
      </w:pPr>
      <w:r>
        <w:tab/>
        <w:t>AL</w:t>
      </w:r>
      <w:r>
        <w:rPr>
          <w:vertAlign w:val="subscript"/>
        </w:rPr>
        <w:t>act</w:t>
      </w:r>
      <w:r>
        <w:t xml:space="preserve"> </w:t>
      </w:r>
      <w:r>
        <w:tab/>
        <w:t>= Actual Air Leakage Rate (cfm/ft</w:t>
      </w:r>
      <w:r>
        <w:rPr>
          <w:vertAlign w:val="superscript"/>
        </w:rPr>
        <w:t>2</w:t>
      </w:r>
      <w:r>
        <w:t xml:space="preserve">) = </w:t>
      </w:r>
      <w:r>
        <w:rPr>
          <w:b/>
          <w:u w:val="single"/>
        </w:rPr>
        <w:t>0.02169</w:t>
      </w:r>
    </w:p>
    <w:p w:rsidR="001F1B70" w:rsidRPr="004B01CE" w:rsidRDefault="00D67CA6">
      <w:pPr>
        <w:tabs>
          <w:tab w:val="left" w:pos="1620"/>
          <w:tab w:val="left" w:pos="2520"/>
        </w:tabs>
        <w:ind w:left="720"/>
        <w:jc w:val="both"/>
        <w:rPr>
          <w:b/>
          <w:u w:val="single"/>
        </w:rPr>
      </w:pPr>
      <w:r>
        <w:tab/>
        <w:t xml:space="preserve">VHC </w:t>
      </w:r>
      <w:r>
        <w:tab/>
        <w:t>= Volumetric Heat Capacity (BTU/</w:t>
      </w:r>
      <w:r w:rsidRPr="004B01CE">
        <w:t>ft</w:t>
      </w:r>
      <w:r w:rsidRPr="004B01CE">
        <w:rPr>
          <w:vertAlign w:val="superscript"/>
        </w:rPr>
        <w:t>3</w:t>
      </w:r>
      <w:r w:rsidRPr="004B01CE">
        <w:t xml:space="preserve">-°F) = </w:t>
      </w:r>
      <w:r w:rsidRPr="004B01CE">
        <w:rPr>
          <w:b/>
          <w:u w:val="single"/>
        </w:rPr>
        <w:t>0.017976</w:t>
      </w:r>
    </w:p>
    <w:p w:rsidR="001F1B70" w:rsidRPr="004B01CE" w:rsidRDefault="00D67CA6">
      <w:pPr>
        <w:tabs>
          <w:tab w:val="left" w:pos="1620"/>
          <w:tab w:val="left" w:pos="2520"/>
        </w:tabs>
        <w:ind w:left="720"/>
        <w:jc w:val="both"/>
        <w:rPr>
          <w:b/>
          <w:u w:val="single"/>
        </w:rPr>
      </w:pPr>
      <w:r w:rsidRPr="004B01CE">
        <w:tab/>
        <w:t xml:space="preserve">CDD </w:t>
      </w:r>
      <w:r w:rsidRPr="004B01CE">
        <w:tab/>
        <w:t xml:space="preserve">= Cooling Degree Days (°F-day) = </w:t>
      </w:r>
      <w:r w:rsidRPr="004B01CE">
        <w:rPr>
          <w:b/>
          <w:u w:val="single"/>
        </w:rPr>
        <w:t>1000</w:t>
      </w:r>
    </w:p>
    <w:p w:rsidR="001F1B70" w:rsidRPr="004B01CE" w:rsidRDefault="00D67CA6">
      <w:pPr>
        <w:tabs>
          <w:tab w:val="left" w:pos="1620"/>
          <w:tab w:val="left" w:pos="2520"/>
        </w:tabs>
        <w:ind w:left="720"/>
        <w:jc w:val="both"/>
        <w:rPr>
          <w:b/>
          <w:u w:val="single"/>
        </w:rPr>
      </w:pPr>
      <w:r w:rsidRPr="004B01CE">
        <w:tab/>
        <w:t>A</w:t>
      </w:r>
      <w:r w:rsidRPr="004B01CE">
        <w:tab/>
        <w:t>= Door Area (ft</w:t>
      </w:r>
      <w:r w:rsidRPr="004B01CE">
        <w:rPr>
          <w:vertAlign w:val="superscript"/>
        </w:rPr>
        <w:t>2</w:t>
      </w:r>
      <w:r w:rsidRPr="004B01CE">
        <w:t xml:space="preserve">) = </w:t>
      </w:r>
      <w:r w:rsidRPr="004B01CE">
        <w:rPr>
          <w:b/>
          <w:u w:val="single"/>
        </w:rPr>
        <w:t>21.0</w:t>
      </w:r>
    </w:p>
    <w:p w:rsidR="001F1B70" w:rsidRPr="004B01CE" w:rsidRDefault="00D67CA6">
      <w:pPr>
        <w:keepNext/>
        <w:keepLines/>
        <w:numPr>
          <w:ilvl w:val="1"/>
          <w:numId w:val="24"/>
        </w:numPr>
        <w:pBdr>
          <w:top w:val="none" w:sz="0" w:space="0" w:color="000000"/>
          <w:left w:val="none" w:sz="0" w:space="0" w:color="000000"/>
          <w:bottom w:val="none" w:sz="0" w:space="0" w:color="000000"/>
          <w:right w:val="none" w:sz="0" w:space="0" w:color="000000"/>
          <w:between w:val="none" w:sz="0" w:space="0" w:color="000000"/>
        </w:pBdr>
        <w:spacing w:after="162" w:line="259" w:lineRule="auto"/>
        <w:ind w:hanging="612"/>
        <w:rPr>
          <w:b/>
        </w:rPr>
      </w:pPr>
      <w:r w:rsidRPr="004B01CE">
        <w:rPr>
          <w:rFonts w:ascii="Calibri" w:eastAsia="Calibri" w:hAnsi="Calibri" w:cs="Calibri"/>
          <w:b/>
          <w:smallCaps/>
          <w:color w:val="000000"/>
          <w:sz w:val="22"/>
          <w:szCs w:val="22"/>
        </w:rPr>
        <w:t xml:space="preserve"> Overall Heating and Cooling Load and Fuel Consumption</w:t>
      </w:r>
    </w:p>
    <w:p w:rsidR="001F1B70" w:rsidRDefault="00D67CA6">
      <w:pPr>
        <w:jc w:val="both"/>
      </w:pPr>
      <w:r>
        <w:t>The Total Annual Heating and Cooling Load are determined according to Equations (8) and (9).</w:t>
      </w:r>
    </w:p>
    <w:p w:rsidR="001F1B70" w:rsidRDefault="00D67CA6">
      <w:pPr>
        <w:ind w:left="720"/>
        <w:jc w:val="both"/>
      </w:pPr>
      <w:r>
        <w:t>Q</w:t>
      </w:r>
      <w:r>
        <w:rPr>
          <w:vertAlign w:val="subscript"/>
        </w:rPr>
        <w:t xml:space="preserve">HTG </w:t>
      </w:r>
      <w:r>
        <w:t>= Q</w:t>
      </w:r>
      <w:r>
        <w:rPr>
          <w:vertAlign w:val="subscript"/>
        </w:rPr>
        <w:t>AL-HTG</w:t>
      </w:r>
      <w:r>
        <w:t xml:space="preserve"> + Q</w:t>
      </w:r>
      <w:r>
        <w:rPr>
          <w:vertAlign w:val="subscript"/>
        </w:rPr>
        <w:t>R-HTG</w:t>
      </w:r>
      <w:r>
        <w:rPr>
          <w:vertAlign w:val="subscript"/>
        </w:rPr>
        <w:tab/>
      </w:r>
      <w:r>
        <w:rPr>
          <w:vertAlign w:val="subscript"/>
        </w:rPr>
        <w:tab/>
      </w:r>
      <w:r>
        <w:rPr>
          <w:vertAlign w:val="subscript"/>
        </w:rPr>
        <w:tab/>
      </w:r>
      <w:r>
        <w:rPr>
          <w:vertAlign w:val="subscript"/>
        </w:rPr>
        <w:tab/>
      </w:r>
      <w:r>
        <w:tab/>
      </w:r>
      <w:r>
        <w:tab/>
      </w:r>
      <w:r>
        <w:tab/>
        <w:t>(8)</w:t>
      </w:r>
    </w:p>
    <w:p w:rsidR="001F1B70" w:rsidRDefault="00D67CA6">
      <w:pPr>
        <w:tabs>
          <w:tab w:val="left" w:pos="1620"/>
          <w:tab w:val="left" w:pos="2520"/>
        </w:tabs>
        <w:ind w:left="720"/>
        <w:jc w:val="both"/>
      </w:pPr>
      <w:r>
        <w:t>Where:</w:t>
      </w:r>
      <w:r>
        <w:tab/>
        <w:t>Q</w:t>
      </w:r>
      <w:r>
        <w:rPr>
          <w:vertAlign w:val="subscript"/>
        </w:rPr>
        <w:t>HTG</w:t>
      </w:r>
      <w:r>
        <w:t xml:space="preserve"> </w:t>
      </w:r>
      <w:r>
        <w:tab/>
        <w:t>= Total Annual Heating Load (BTU)</w:t>
      </w:r>
      <w:r>
        <w:tab/>
      </w:r>
      <w:r>
        <w:tab/>
      </w:r>
    </w:p>
    <w:p w:rsidR="001F1B70" w:rsidRDefault="00D67CA6">
      <w:pPr>
        <w:tabs>
          <w:tab w:val="left" w:pos="1620"/>
          <w:tab w:val="left" w:pos="2520"/>
        </w:tabs>
        <w:ind w:left="720"/>
        <w:jc w:val="both"/>
      </w:pPr>
      <w:r>
        <w:tab/>
        <w:t>Q</w:t>
      </w:r>
      <w:r>
        <w:rPr>
          <w:vertAlign w:val="subscript"/>
        </w:rPr>
        <w:t>AL-HTG</w:t>
      </w:r>
      <w:r>
        <w:t xml:space="preserve"> </w:t>
      </w:r>
      <w:r>
        <w:tab/>
        <w:t>= Annual Heating Load due to Air Leakage (BTU)</w:t>
      </w:r>
      <w:r>
        <w:tab/>
      </w:r>
      <w:r>
        <w:tab/>
      </w:r>
      <w:r>
        <w:tab/>
      </w:r>
    </w:p>
    <w:p w:rsidR="001F1B70" w:rsidRDefault="00D67CA6">
      <w:pPr>
        <w:tabs>
          <w:tab w:val="left" w:pos="1620"/>
          <w:tab w:val="left" w:pos="2520"/>
        </w:tabs>
        <w:ind w:left="720"/>
        <w:jc w:val="both"/>
      </w:pPr>
      <w:r>
        <w:tab/>
        <w:t>Q</w:t>
      </w:r>
      <w:r>
        <w:rPr>
          <w:vertAlign w:val="subscript"/>
        </w:rPr>
        <w:t>R-HTG</w:t>
      </w:r>
      <w:r>
        <w:t xml:space="preserve"> </w:t>
      </w:r>
      <w:r>
        <w:tab/>
        <w:t>= Annual Heating Load due to R-Value (BTU)</w:t>
      </w:r>
      <w:r>
        <w:tab/>
      </w:r>
      <w:r>
        <w:tab/>
      </w:r>
      <w:r>
        <w:tab/>
      </w:r>
    </w:p>
    <w:p w:rsidR="001F1B70" w:rsidRDefault="00D67CA6">
      <w:pPr>
        <w:ind w:left="720"/>
        <w:jc w:val="both"/>
      </w:pPr>
      <w:r>
        <w:t>Q</w:t>
      </w:r>
      <w:r>
        <w:rPr>
          <w:vertAlign w:val="subscript"/>
        </w:rPr>
        <w:t xml:space="preserve">CLG </w:t>
      </w:r>
      <w:r>
        <w:t>= Q</w:t>
      </w:r>
      <w:r>
        <w:rPr>
          <w:vertAlign w:val="subscript"/>
        </w:rPr>
        <w:t>AL-CLG</w:t>
      </w:r>
      <w:r>
        <w:t xml:space="preserve"> + Q</w:t>
      </w:r>
      <w:r>
        <w:rPr>
          <w:vertAlign w:val="subscript"/>
        </w:rPr>
        <w:t>R-CLG</w:t>
      </w:r>
      <w:r>
        <w:rPr>
          <w:vertAlign w:val="subscript"/>
        </w:rPr>
        <w:tab/>
      </w:r>
      <w:r>
        <w:rPr>
          <w:vertAlign w:val="subscript"/>
        </w:rPr>
        <w:tab/>
      </w:r>
      <w:r>
        <w:rPr>
          <w:vertAlign w:val="subscript"/>
        </w:rPr>
        <w:tab/>
      </w:r>
      <w:r>
        <w:rPr>
          <w:vertAlign w:val="subscript"/>
        </w:rPr>
        <w:tab/>
      </w:r>
      <w:r>
        <w:tab/>
      </w:r>
      <w:r>
        <w:tab/>
      </w:r>
      <w:r>
        <w:tab/>
        <w:t>(9)</w:t>
      </w:r>
    </w:p>
    <w:p w:rsidR="001F1B70" w:rsidRDefault="00D67CA6">
      <w:pPr>
        <w:tabs>
          <w:tab w:val="left" w:pos="1620"/>
          <w:tab w:val="left" w:pos="2520"/>
        </w:tabs>
        <w:ind w:left="720"/>
        <w:jc w:val="both"/>
      </w:pPr>
      <w:r>
        <w:t>Where:</w:t>
      </w:r>
      <w:r>
        <w:tab/>
        <w:t>Q</w:t>
      </w:r>
      <w:r>
        <w:rPr>
          <w:vertAlign w:val="subscript"/>
        </w:rPr>
        <w:t>CLG</w:t>
      </w:r>
      <w:r>
        <w:t xml:space="preserve"> </w:t>
      </w:r>
      <w:r>
        <w:tab/>
        <w:t>= Total Annual Cooling Load (BTU)</w:t>
      </w:r>
      <w:r>
        <w:tab/>
      </w:r>
      <w:r>
        <w:tab/>
      </w:r>
    </w:p>
    <w:p w:rsidR="001F1B70" w:rsidRDefault="00D67CA6">
      <w:pPr>
        <w:tabs>
          <w:tab w:val="left" w:pos="1620"/>
          <w:tab w:val="left" w:pos="2520"/>
        </w:tabs>
      </w:pPr>
      <w:r>
        <w:tab/>
        <w:t>Q</w:t>
      </w:r>
      <w:r>
        <w:rPr>
          <w:vertAlign w:val="subscript"/>
        </w:rPr>
        <w:t>AL-CLG</w:t>
      </w:r>
      <w:r>
        <w:t xml:space="preserve"> </w:t>
      </w:r>
      <w:r>
        <w:tab/>
        <w:t>= Annual Cooling Load due to Air Leakage (BTU)</w:t>
      </w:r>
      <w:r>
        <w:tab/>
      </w:r>
      <w:r>
        <w:tab/>
      </w:r>
      <w:r>
        <w:tab/>
      </w:r>
    </w:p>
    <w:p w:rsidR="001F1B70" w:rsidRDefault="00D67CA6">
      <w:pPr>
        <w:tabs>
          <w:tab w:val="left" w:pos="1620"/>
          <w:tab w:val="left" w:pos="2520"/>
        </w:tabs>
        <w:rPr>
          <w:b/>
          <w:color w:val="FF0000"/>
        </w:rPr>
      </w:pPr>
      <w:r>
        <w:tab/>
        <w:t>Q</w:t>
      </w:r>
      <w:r>
        <w:rPr>
          <w:vertAlign w:val="subscript"/>
        </w:rPr>
        <w:t>R-CLG</w:t>
      </w:r>
      <w:r>
        <w:t xml:space="preserve"> </w:t>
      </w:r>
      <w:r>
        <w:tab/>
        <w:t>= Annual Cooling Load due to R-Value (BTU)</w:t>
      </w:r>
      <w:r>
        <w:tab/>
      </w:r>
      <w:r>
        <w:tab/>
      </w:r>
    </w:p>
    <w:p w:rsidR="001F1B70" w:rsidRDefault="00D67CA6">
      <w:r>
        <w:t>The heating and cooling load values represent the loss of energy through the door. To offset that energy, heating and cooling units will need to produce an equivalent amount of energy. The fuel consumption must account for the efficiency of the heating and cooling systems.</w:t>
      </w:r>
    </w:p>
    <w:p w:rsidR="001F1B70" w:rsidRDefault="00D67CA6">
      <w:r>
        <w:t xml:space="preserve">The heating system was assumed to be fueled by natural gas and 85% efficient.  </w:t>
      </w:r>
    </w:p>
    <w:p w:rsidR="001F1B70" w:rsidRDefault="00D67CA6">
      <w:r>
        <w:t>Heating fuel (Natural Gas) consumption is determined according to Equation (10).</w:t>
      </w:r>
    </w:p>
    <w:p w:rsidR="001F1B70" w:rsidRDefault="00D67CA6">
      <w:pPr>
        <w:ind w:left="720"/>
        <w:jc w:val="both"/>
      </w:pPr>
      <w:r>
        <w:t>FC</w:t>
      </w:r>
      <w:r>
        <w:rPr>
          <w:vertAlign w:val="subscript"/>
        </w:rPr>
        <w:t xml:space="preserve">HTG </w:t>
      </w:r>
      <w:r>
        <w:t>= Q</w:t>
      </w:r>
      <w:r>
        <w:rPr>
          <w:vertAlign w:val="subscript"/>
        </w:rPr>
        <w:t>HTG</w:t>
      </w:r>
      <w:r>
        <w:t xml:space="preserve"> / (Eff</w:t>
      </w:r>
      <w:r>
        <w:rPr>
          <w:vertAlign w:val="subscript"/>
        </w:rPr>
        <w:t>HTG</w:t>
      </w:r>
      <w:r>
        <w:t xml:space="preserve"> / 100) / (EC</w:t>
      </w:r>
      <w:r>
        <w:rPr>
          <w:vertAlign w:val="subscript"/>
        </w:rPr>
        <w:t>NG</w:t>
      </w:r>
      <w:r>
        <w:t xml:space="preserve"> * 100)</w:t>
      </w:r>
      <w:r>
        <w:tab/>
      </w:r>
      <w:r>
        <w:tab/>
      </w:r>
      <w:r>
        <w:tab/>
      </w:r>
      <w:r>
        <w:tab/>
        <w:t>(10)</w:t>
      </w:r>
    </w:p>
    <w:p w:rsidR="001F1B70" w:rsidRDefault="00D67CA6" w:rsidP="004B01CE">
      <w:r>
        <w:rPr>
          <w:b/>
          <w:color w:val="FF0000"/>
        </w:rPr>
        <w:tab/>
      </w:r>
      <w:r>
        <w:t>Where:</w:t>
      </w:r>
      <w:r>
        <w:tab/>
        <w:t>FC</w:t>
      </w:r>
      <w:r>
        <w:rPr>
          <w:vertAlign w:val="subscript"/>
        </w:rPr>
        <w:t>HTG</w:t>
      </w:r>
      <w:r>
        <w:t xml:space="preserve"> </w:t>
      </w:r>
      <w:r>
        <w:tab/>
        <w:t>= Fuel (Natural Gas) Consumption, Heating (ccf)</w:t>
      </w:r>
      <w:r>
        <w:tab/>
      </w:r>
      <w:r>
        <w:tab/>
      </w:r>
      <w:r>
        <w:tab/>
      </w:r>
    </w:p>
    <w:p w:rsidR="001F1B70" w:rsidRDefault="00D67CA6">
      <w:pPr>
        <w:tabs>
          <w:tab w:val="left" w:pos="1620"/>
          <w:tab w:val="left" w:pos="2520"/>
        </w:tabs>
        <w:ind w:left="720"/>
        <w:jc w:val="both"/>
      </w:pPr>
      <w:r>
        <w:tab/>
        <w:t>Q</w:t>
      </w:r>
      <w:r>
        <w:rPr>
          <w:vertAlign w:val="subscript"/>
        </w:rPr>
        <w:t>HTG</w:t>
      </w:r>
      <w:r>
        <w:t xml:space="preserve"> </w:t>
      </w:r>
      <w:r>
        <w:tab/>
        <w:t>= Total Annual Heating Load (BTU)</w:t>
      </w:r>
      <w:r>
        <w:tab/>
      </w:r>
    </w:p>
    <w:p w:rsidR="001F1B70" w:rsidRDefault="00D67CA6">
      <w:pPr>
        <w:tabs>
          <w:tab w:val="left" w:pos="1620"/>
          <w:tab w:val="left" w:pos="2520"/>
        </w:tabs>
        <w:ind w:left="720"/>
        <w:jc w:val="both"/>
      </w:pPr>
      <w:r>
        <w:lastRenderedPageBreak/>
        <w:tab/>
        <w:t>Eff</w:t>
      </w:r>
      <w:r>
        <w:rPr>
          <w:vertAlign w:val="subscript"/>
        </w:rPr>
        <w:t>HTG</w:t>
      </w:r>
      <w:r>
        <w:t xml:space="preserve"> </w:t>
      </w:r>
      <w:r>
        <w:tab/>
        <w:t>= Heating System Efficiency (%)</w:t>
      </w:r>
    </w:p>
    <w:p w:rsidR="001F1B70" w:rsidRDefault="00D67CA6">
      <w:pPr>
        <w:tabs>
          <w:tab w:val="left" w:pos="1620"/>
          <w:tab w:val="left" w:pos="2520"/>
        </w:tabs>
        <w:ind w:left="720"/>
        <w:jc w:val="both"/>
        <w:rPr>
          <w:b/>
          <w:i/>
          <w:u w:val="single"/>
        </w:rPr>
      </w:pPr>
      <w:r>
        <w:tab/>
        <w:t>EC</w:t>
      </w:r>
      <w:r>
        <w:rPr>
          <w:vertAlign w:val="subscript"/>
        </w:rPr>
        <w:t>NG</w:t>
      </w:r>
      <w:r>
        <w:t xml:space="preserve"> </w:t>
      </w:r>
      <w:r>
        <w:tab/>
        <w:t xml:space="preserve">= Energy Content of Natural Gas (BTU/cf) = </w:t>
      </w:r>
      <w:r w:rsidRPr="004B01CE">
        <w:rPr>
          <w:b/>
          <w:iCs/>
          <w:u w:val="single"/>
        </w:rPr>
        <w:t>1000</w:t>
      </w:r>
    </w:p>
    <w:p w:rsidR="001F1B70" w:rsidRDefault="00D67CA6">
      <w:r>
        <w:t>The cooling system was assumed to be an electric powered air conditioning system with a SEER of 10.  Cooling fuel (Electricity) consumption is determined according to Equation (11).</w:t>
      </w:r>
    </w:p>
    <w:p w:rsidR="001F1B70" w:rsidRDefault="00D67CA6">
      <w:pPr>
        <w:ind w:left="720"/>
        <w:jc w:val="both"/>
      </w:pPr>
      <w:r>
        <w:t>FC</w:t>
      </w:r>
      <w:r>
        <w:rPr>
          <w:vertAlign w:val="subscript"/>
        </w:rPr>
        <w:t xml:space="preserve">CLG </w:t>
      </w:r>
      <w:r>
        <w:t>= Q</w:t>
      </w:r>
      <w:r>
        <w:rPr>
          <w:vertAlign w:val="subscript"/>
        </w:rPr>
        <w:t>CLG</w:t>
      </w:r>
      <w:r>
        <w:t xml:space="preserve"> / SEER / 1000</w:t>
      </w:r>
      <w:r>
        <w:tab/>
      </w:r>
      <w:r>
        <w:tab/>
      </w:r>
      <w:r>
        <w:tab/>
      </w:r>
      <w:r>
        <w:tab/>
      </w:r>
      <w:r>
        <w:tab/>
      </w:r>
      <w:r>
        <w:tab/>
      </w:r>
      <w:r>
        <w:tab/>
        <w:t>(11)</w:t>
      </w:r>
    </w:p>
    <w:p w:rsidR="001F1B70" w:rsidRDefault="00D67CA6">
      <w:r>
        <w:rPr>
          <w:b/>
          <w:color w:val="FF0000"/>
        </w:rPr>
        <w:tab/>
      </w:r>
      <w:r>
        <w:t>Where:</w:t>
      </w:r>
      <w:r>
        <w:tab/>
        <w:t>FC</w:t>
      </w:r>
      <w:r>
        <w:rPr>
          <w:vertAlign w:val="subscript"/>
        </w:rPr>
        <w:t>CLG</w:t>
      </w:r>
      <w:r>
        <w:t xml:space="preserve"> </w:t>
      </w:r>
      <w:r>
        <w:tab/>
        <w:t>= Fuel (Electricity) Consumption, Cooling (kWh)</w:t>
      </w:r>
      <w:r>
        <w:tab/>
      </w:r>
      <w:r>
        <w:tab/>
      </w:r>
      <w:r>
        <w:tab/>
      </w:r>
    </w:p>
    <w:p w:rsidR="001F1B70" w:rsidRDefault="00D67CA6">
      <w:pPr>
        <w:ind w:left="720" w:firstLine="720"/>
      </w:pPr>
      <w:r>
        <w:t>Q</w:t>
      </w:r>
      <w:r>
        <w:rPr>
          <w:vertAlign w:val="subscript"/>
        </w:rPr>
        <w:t>CLG</w:t>
      </w:r>
      <w:r>
        <w:t xml:space="preserve"> </w:t>
      </w:r>
      <w:r>
        <w:tab/>
        <w:t>= Total Annual Cooling Load (BTU)</w:t>
      </w:r>
      <w:r>
        <w:tab/>
      </w:r>
    </w:p>
    <w:p w:rsidR="001F1B70" w:rsidRDefault="00D67CA6">
      <w:pPr>
        <w:ind w:left="720" w:firstLine="720"/>
      </w:pPr>
      <w:r>
        <w:t>SEER = Seasonal Energy Efficiency Rating (BTU/W-hr) =</w:t>
      </w:r>
      <w:r w:rsidRPr="004B01CE">
        <w:rPr>
          <w:iCs/>
        </w:rPr>
        <w:t xml:space="preserve"> </w:t>
      </w:r>
      <w:r w:rsidRPr="004B01CE">
        <w:rPr>
          <w:b/>
          <w:iCs/>
          <w:u w:val="single"/>
        </w:rPr>
        <w:t>10.0</w:t>
      </w:r>
    </w:p>
    <w:p w:rsidR="001F1B70" w:rsidRDefault="001F1B70">
      <w:pPr>
        <w:tabs>
          <w:tab w:val="left" w:pos="1620"/>
          <w:tab w:val="left" w:pos="2520"/>
        </w:tabs>
        <w:jc w:val="both"/>
      </w:pPr>
    </w:p>
    <w:p w:rsidR="001F1B70" w:rsidRPr="004B01CE" w:rsidRDefault="00D67CA6" w:rsidP="005D2C78">
      <w:pPr>
        <w:tabs>
          <w:tab w:val="left" w:pos="1620"/>
          <w:tab w:val="left" w:pos="2520"/>
        </w:tabs>
        <w:jc w:val="both"/>
      </w:pPr>
      <w:r>
        <w:tab/>
      </w:r>
    </w:p>
    <w:sectPr w:rsidR="001F1B70" w:rsidRPr="004B01CE" w:rsidSect="005D2C78">
      <w:headerReference w:type="default" r:id="rId17"/>
      <w:footerReference w:type="default" r:id="rId18"/>
      <w:pgSz w:w="12240" w:h="15840"/>
      <w:pgMar w:top="720" w:right="1440" w:bottom="864" w:left="1440" w:header="720" w:footer="720" w:gutter="0"/>
      <w:lnNumType w:countBy="1" w:restart="continuous"/>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ED9" w:rsidRDefault="00A06ED9">
      <w:pPr>
        <w:spacing w:after="0" w:line="240" w:lineRule="auto"/>
      </w:pPr>
      <w:r>
        <w:separator/>
      </w:r>
    </w:p>
  </w:endnote>
  <w:endnote w:type="continuationSeparator" w:id="0">
    <w:p w:rsidR="00A06ED9" w:rsidRDefault="00A0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Quattrocento Sans">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CA6" w:rsidRDefault="00D67CA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D67CA6" w:rsidRDefault="00D67CA6">
    <w:pPr>
      <w:pBdr>
        <w:top w:val="nil"/>
        <w:left w:val="nil"/>
        <w:bottom w:val="nil"/>
        <w:right w:val="nil"/>
        <w:between w:val="nil"/>
      </w:pBdr>
      <w:tabs>
        <w:tab w:val="left" w:pos="85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ED9" w:rsidRDefault="00A06ED9">
      <w:pPr>
        <w:spacing w:after="0" w:line="240" w:lineRule="auto"/>
      </w:pPr>
      <w:r>
        <w:separator/>
      </w:r>
    </w:p>
  </w:footnote>
  <w:footnote w:type="continuationSeparator" w:id="0">
    <w:p w:rsidR="00A06ED9" w:rsidRDefault="00A06ED9">
      <w:pPr>
        <w:spacing w:after="0" w:line="240" w:lineRule="auto"/>
      </w:pPr>
      <w:r>
        <w:continuationSeparator/>
      </w:r>
    </w:p>
  </w:footnote>
  <w:footnote w:id="1">
    <w:p w:rsidR="00D67CA6" w:rsidRDefault="00D67CA6">
      <w:pPr>
        <w:spacing w:after="0" w:line="240" w:lineRule="auto"/>
        <w:rPr>
          <w:color w:val="000000"/>
        </w:rPr>
      </w:pPr>
      <w:r>
        <w:rPr>
          <w:vertAlign w:val="superscript"/>
        </w:rPr>
        <w:footnoteRef/>
      </w:r>
      <w:r>
        <w:rPr>
          <w:color w:val="000000"/>
        </w:rPr>
        <w:t xml:space="preserve"> Unless part of an integrated door assembly </w:t>
      </w:r>
    </w:p>
  </w:footnote>
  <w:footnote w:id="2">
    <w:p w:rsidR="00D67CA6" w:rsidRDefault="00D67CA6">
      <w:pPr>
        <w:pBdr>
          <w:top w:val="nil"/>
          <w:left w:val="nil"/>
          <w:bottom w:val="nil"/>
          <w:right w:val="nil"/>
          <w:between w:val="nil"/>
        </w:pBdr>
        <w:spacing w:after="0" w:line="240" w:lineRule="auto"/>
        <w:rPr>
          <w:color w:val="000000"/>
          <w:sz w:val="14"/>
          <w:szCs w:val="14"/>
        </w:rPr>
      </w:pPr>
      <w:r>
        <w:rPr>
          <w:vertAlign w:val="superscript"/>
        </w:rPr>
        <w:footnoteRef/>
      </w:r>
      <w:r>
        <w:rPr>
          <w:color w:val="000000"/>
          <w:sz w:val="16"/>
          <w:szCs w:val="16"/>
        </w:rPr>
        <w:t xml:space="preserve"> This example flow diagram is a generic product and specific product types covered in this PCR may differ.  </w:t>
      </w:r>
    </w:p>
  </w:footnote>
  <w:footnote w:id="3">
    <w:p w:rsidR="00D67CA6" w:rsidRDefault="00D67CA6">
      <w:pPr>
        <w:pBdr>
          <w:top w:val="nil"/>
          <w:left w:val="nil"/>
          <w:bottom w:val="nil"/>
          <w:right w:val="nil"/>
          <w:between w:val="nil"/>
        </w:pBdr>
        <w:spacing w:after="0" w:line="240" w:lineRule="auto"/>
        <w:rPr>
          <w:color w:val="000000"/>
          <w:sz w:val="20"/>
          <w:szCs w:val="20"/>
        </w:rPr>
      </w:pPr>
      <w:r>
        <w:rPr>
          <w:vertAlign w:val="superscript"/>
        </w:rPr>
        <w:footnoteRef/>
      </w:r>
      <w:r>
        <w:rPr>
          <w:color w:val="000000"/>
        </w:rPr>
        <w:t xml:space="preserve"> Based on ASTM D2921.</w:t>
      </w:r>
    </w:p>
  </w:footnote>
  <w:footnote w:id="4">
    <w:p w:rsidR="00D67CA6" w:rsidRDefault="00D67C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6"/>
          <w:szCs w:val="16"/>
        </w:rPr>
        <w:t>See ISO 21930 Section 7.2.7</w:t>
      </w:r>
    </w:p>
  </w:footnote>
  <w:footnote w:id="5">
    <w:p w:rsidR="00D67CA6" w:rsidRDefault="00D67C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6"/>
          <w:szCs w:val="16"/>
        </w:rPr>
        <w:t xml:space="preserve">Adapted from ISO 2017:2017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CA6" w:rsidRDefault="00D67CA6">
    <w:pPr>
      <w:pBdr>
        <w:top w:val="nil"/>
        <w:left w:val="nil"/>
        <w:bottom w:val="nil"/>
        <w:right w:val="nil"/>
        <w:between w:val="nil"/>
      </w:pBdr>
      <w:tabs>
        <w:tab w:val="center" w:pos="4680"/>
        <w:tab w:val="right" w:pos="9360"/>
      </w:tabs>
      <w:spacing w:after="0" w:line="240" w:lineRule="auto"/>
      <w:rPr>
        <w:color w:val="000000"/>
      </w:rPr>
    </w:pPr>
  </w:p>
  <w:p w:rsidR="00D67CA6" w:rsidRDefault="00D67C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2F97"/>
    <w:multiLevelType w:val="multilevel"/>
    <w:tmpl w:val="EAA8BEE0"/>
    <w:lvl w:ilvl="0">
      <w:start w:val="2"/>
      <w:numFmt w:val="decimal"/>
      <w:lvlText w:val="%1"/>
      <w:lvlJc w:val="left"/>
      <w:pPr>
        <w:ind w:left="405" w:hanging="405"/>
      </w:pPr>
    </w:lvl>
    <w:lvl w:ilvl="1">
      <w:start w:val="2"/>
      <w:numFmt w:val="decimal"/>
      <w:lvlText w:val="%1.%2"/>
      <w:lvlJc w:val="left"/>
      <w:pPr>
        <w:ind w:left="403" w:hanging="405"/>
      </w:pPr>
    </w:lvl>
    <w:lvl w:ilvl="2">
      <w:start w:val="1"/>
      <w:numFmt w:val="decimal"/>
      <w:lvlText w:val="%1.%2.%3"/>
      <w:lvlJc w:val="left"/>
      <w:pPr>
        <w:ind w:left="716" w:hanging="720"/>
      </w:pPr>
      <w:rPr>
        <w:b/>
        <w:sz w:val="16"/>
        <w:szCs w:val="16"/>
      </w:rPr>
    </w:lvl>
    <w:lvl w:ilvl="3">
      <w:start w:val="1"/>
      <w:numFmt w:val="decimal"/>
      <w:lvlText w:val="%1.1.3.1"/>
      <w:lvlJc w:val="left"/>
      <w:pPr>
        <w:ind w:left="714" w:hanging="720"/>
      </w:pPr>
      <w:rPr>
        <w:b/>
        <w:sz w:val="16"/>
        <w:szCs w:val="16"/>
      </w:rPr>
    </w:lvl>
    <w:lvl w:ilvl="4">
      <w:start w:val="1"/>
      <w:numFmt w:val="decimal"/>
      <w:lvlText w:val="%1.%2.%3.%4.%5"/>
      <w:lvlJc w:val="left"/>
      <w:pPr>
        <w:ind w:left="712" w:hanging="720"/>
      </w:pPr>
    </w:lvl>
    <w:lvl w:ilvl="5">
      <w:start w:val="1"/>
      <w:numFmt w:val="decimal"/>
      <w:lvlText w:val="%1.%2.%3.%4.%5.%6"/>
      <w:lvlJc w:val="left"/>
      <w:pPr>
        <w:ind w:left="1070" w:hanging="1080"/>
      </w:pPr>
    </w:lvl>
    <w:lvl w:ilvl="6">
      <w:start w:val="1"/>
      <w:numFmt w:val="decimal"/>
      <w:lvlText w:val="%1.%2.%3.%4.%5.%6.%7"/>
      <w:lvlJc w:val="left"/>
      <w:pPr>
        <w:ind w:left="1068" w:hanging="1080"/>
      </w:pPr>
    </w:lvl>
    <w:lvl w:ilvl="7">
      <w:start w:val="1"/>
      <w:numFmt w:val="decimal"/>
      <w:lvlText w:val="%1.%2.%3.%4.%5.%6.%7.%8"/>
      <w:lvlJc w:val="left"/>
      <w:pPr>
        <w:ind w:left="1426" w:hanging="1440"/>
      </w:pPr>
    </w:lvl>
    <w:lvl w:ilvl="8">
      <w:start w:val="1"/>
      <w:numFmt w:val="decimal"/>
      <w:lvlText w:val="%1.%2.%3.%4.%5.%6.%7.%8.%9"/>
      <w:lvlJc w:val="left"/>
      <w:pPr>
        <w:ind w:left="1424" w:hanging="1440"/>
      </w:pPr>
    </w:lvl>
  </w:abstractNum>
  <w:abstractNum w:abstractNumId="1" w15:restartNumberingAfterBreak="0">
    <w:nsid w:val="07B31CF6"/>
    <w:multiLevelType w:val="hybridMultilevel"/>
    <w:tmpl w:val="80FEFE7E"/>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0A516F8B"/>
    <w:multiLevelType w:val="multilevel"/>
    <w:tmpl w:val="CC30CE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DD67A34"/>
    <w:multiLevelType w:val="multilevel"/>
    <w:tmpl w:val="F2EE1E22"/>
    <w:lvl w:ilvl="0">
      <w:start w:val="2"/>
      <w:numFmt w:val="decimal"/>
      <w:lvlText w:val="%1."/>
      <w:lvlJc w:val="left"/>
      <w:pPr>
        <w:ind w:left="360" w:hanging="360"/>
      </w:pPr>
    </w:lvl>
    <w:lvl w:ilvl="1">
      <w:start w:val="4"/>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AC5C14"/>
    <w:multiLevelType w:val="multilevel"/>
    <w:tmpl w:val="EEF4B75E"/>
    <w:lvl w:ilvl="0">
      <w:start w:val="1"/>
      <w:numFmt w:val="decimal"/>
      <w:lvlText w:val="%1"/>
      <w:lvlJc w:val="left"/>
      <w:pPr>
        <w:ind w:left="360" w:hanging="360"/>
      </w:pPr>
      <w:rPr>
        <w:rFonts w:asciiTheme="minorBidi" w:eastAsia="Cambria" w:hAnsiTheme="minorBidi" w:cstheme="minorBid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8344603"/>
    <w:multiLevelType w:val="multilevel"/>
    <w:tmpl w:val="3C701342"/>
    <w:lvl w:ilvl="0">
      <w:start w:val="3"/>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731383"/>
    <w:multiLevelType w:val="multilevel"/>
    <w:tmpl w:val="53320806"/>
    <w:lvl w:ilvl="0">
      <w:start w:val="3"/>
      <w:numFmt w:val="decimal"/>
      <w:lvlText w:val="%1."/>
      <w:lvlJc w:val="left"/>
      <w:pPr>
        <w:ind w:left="360" w:hanging="360"/>
      </w:pPr>
    </w:lvl>
    <w:lvl w:ilvl="1">
      <w:start w:val="3"/>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B8586C"/>
    <w:multiLevelType w:val="multilevel"/>
    <w:tmpl w:val="CBDE809E"/>
    <w:lvl w:ilvl="0">
      <w:start w:val="2"/>
      <w:numFmt w:val="decimal"/>
      <w:lvlText w:val="%1."/>
      <w:lvlJc w:val="left"/>
      <w:pPr>
        <w:ind w:left="360" w:hanging="360"/>
      </w:pPr>
    </w:lvl>
    <w:lvl w:ilvl="1">
      <w:start w:val="5"/>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D87576"/>
    <w:multiLevelType w:val="multilevel"/>
    <w:tmpl w:val="1EAE55C6"/>
    <w:lvl w:ilvl="0">
      <w:start w:val="2"/>
      <w:numFmt w:val="decimal"/>
      <w:lvlText w:val="%1"/>
      <w:lvlJc w:val="left"/>
      <w:pPr>
        <w:ind w:left="405" w:hanging="405"/>
      </w:pPr>
    </w:lvl>
    <w:lvl w:ilvl="1">
      <w:start w:val="2"/>
      <w:numFmt w:val="decimal"/>
      <w:lvlText w:val="%1.%2"/>
      <w:lvlJc w:val="left"/>
      <w:pPr>
        <w:ind w:left="403" w:hanging="405"/>
      </w:pPr>
    </w:lvl>
    <w:lvl w:ilvl="2">
      <w:start w:val="2"/>
      <w:numFmt w:val="decimal"/>
      <w:lvlText w:val="%1.%2.%3"/>
      <w:lvlJc w:val="left"/>
      <w:pPr>
        <w:ind w:left="716" w:hanging="720"/>
      </w:pPr>
      <w:rPr>
        <w:b/>
        <w:sz w:val="16"/>
        <w:szCs w:val="16"/>
      </w:rPr>
    </w:lvl>
    <w:lvl w:ilvl="3">
      <w:start w:val="1"/>
      <w:numFmt w:val="decimal"/>
      <w:lvlText w:val="%1.1.3.1"/>
      <w:lvlJc w:val="left"/>
      <w:pPr>
        <w:ind w:left="714" w:hanging="720"/>
      </w:pPr>
      <w:rPr>
        <w:b/>
        <w:sz w:val="16"/>
        <w:szCs w:val="16"/>
      </w:rPr>
    </w:lvl>
    <w:lvl w:ilvl="4">
      <w:start w:val="1"/>
      <w:numFmt w:val="decimal"/>
      <w:lvlText w:val="%1.%2.%3.%4.%5"/>
      <w:lvlJc w:val="left"/>
      <w:pPr>
        <w:ind w:left="712" w:hanging="720"/>
      </w:pPr>
    </w:lvl>
    <w:lvl w:ilvl="5">
      <w:start w:val="1"/>
      <w:numFmt w:val="decimal"/>
      <w:lvlText w:val="%1.%2.%3.%4.%5.%6"/>
      <w:lvlJc w:val="left"/>
      <w:pPr>
        <w:ind w:left="1070" w:hanging="1080"/>
      </w:pPr>
    </w:lvl>
    <w:lvl w:ilvl="6">
      <w:start w:val="1"/>
      <w:numFmt w:val="decimal"/>
      <w:lvlText w:val="%1.%2.%3.%4.%5.%6.%7"/>
      <w:lvlJc w:val="left"/>
      <w:pPr>
        <w:ind w:left="1068" w:hanging="1080"/>
      </w:pPr>
    </w:lvl>
    <w:lvl w:ilvl="7">
      <w:start w:val="1"/>
      <w:numFmt w:val="decimal"/>
      <w:lvlText w:val="%1.%2.%3.%4.%5.%6.%7.%8"/>
      <w:lvlJc w:val="left"/>
      <w:pPr>
        <w:ind w:left="1426" w:hanging="1440"/>
      </w:pPr>
    </w:lvl>
    <w:lvl w:ilvl="8">
      <w:start w:val="1"/>
      <w:numFmt w:val="decimal"/>
      <w:lvlText w:val="%1.%2.%3.%4.%5.%6.%7.%8.%9"/>
      <w:lvlJc w:val="left"/>
      <w:pPr>
        <w:ind w:left="1424" w:hanging="1440"/>
      </w:pPr>
    </w:lvl>
  </w:abstractNum>
  <w:abstractNum w:abstractNumId="9" w15:restartNumberingAfterBreak="0">
    <w:nsid w:val="1FE30839"/>
    <w:multiLevelType w:val="multilevel"/>
    <w:tmpl w:val="61CAF1F4"/>
    <w:lvl w:ilvl="0">
      <w:start w:val="1"/>
      <w:numFmt w:val="bullet"/>
      <w:lvlText w:val="🞂"/>
      <w:lvlJc w:val="left"/>
      <w:pPr>
        <w:ind w:left="765" w:hanging="360"/>
      </w:pPr>
      <w:rPr>
        <w:rFonts w:ascii="Noto Sans Symbols" w:eastAsia="Noto Sans Symbols" w:hAnsi="Noto Sans Symbols" w:cs="Noto Sans Symbols"/>
        <w:color w:val="97A822"/>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0" w15:restartNumberingAfterBreak="0">
    <w:nsid w:val="216A180D"/>
    <w:multiLevelType w:val="hybridMultilevel"/>
    <w:tmpl w:val="ADB8F4C0"/>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1" w15:restartNumberingAfterBreak="0">
    <w:nsid w:val="22C8134C"/>
    <w:multiLevelType w:val="multilevel"/>
    <w:tmpl w:val="6D62A176"/>
    <w:lvl w:ilvl="0">
      <w:start w:val="10"/>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4B06B3"/>
    <w:multiLevelType w:val="multilevel"/>
    <w:tmpl w:val="61325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3907E4"/>
    <w:multiLevelType w:val="multilevel"/>
    <w:tmpl w:val="A6E675CE"/>
    <w:lvl w:ilvl="0">
      <w:start w:val="1"/>
      <w:numFmt w:val="bullet"/>
      <w:lvlText w:val="•"/>
      <w:lvlJc w:val="left"/>
      <w:pPr>
        <w:ind w:left="697" w:hanging="697"/>
      </w:pPr>
      <w:rPr>
        <w:rFonts w:ascii="Arial" w:eastAsia="Arial" w:hAnsi="Arial" w:cs="Arial"/>
        <w:b w:val="0"/>
        <w:i w:val="0"/>
        <w:strike w:val="0"/>
        <w:color w:val="000000"/>
        <w:sz w:val="18"/>
        <w:szCs w:val="18"/>
        <w:u w:val="none"/>
        <w:shd w:val="clear" w:color="auto" w:fill="auto"/>
        <w:vertAlign w:val="baseline"/>
      </w:rPr>
    </w:lvl>
    <w:lvl w:ilvl="1">
      <w:start w:val="1"/>
      <w:numFmt w:val="bullet"/>
      <w:lvlText w:val="o"/>
      <w:lvlJc w:val="left"/>
      <w:pPr>
        <w:ind w:left="1420" w:hanging="1420"/>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2">
      <w:start w:val="1"/>
      <w:numFmt w:val="bullet"/>
      <w:lvlText w:val="▪"/>
      <w:lvlJc w:val="left"/>
      <w:pPr>
        <w:ind w:left="2140" w:hanging="2140"/>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3">
      <w:start w:val="1"/>
      <w:numFmt w:val="bullet"/>
      <w:lvlText w:val="•"/>
      <w:lvlJc w:val="left"/>
      <w:pPr>
        <w:ind w:left="2860" w:hanging="2860"/>
      </w:pPr>
      <w:rPr>
        <w:rFonts w:ascii="Arial" w:eastAsia="Arial" w:hAnsi="Arial" w:cs="Arial"/>
        <w:b w:val="0"/>
        <w:i w:val="0"/>
        <w:strike w:val="0"/>
        <w:color w:val="000000"/>
        <w:sz w:val="18"/>
        <w:szCs w:val="18"/>
        <w:u w:val="none"/>
        <w:shd w:val="clear" w:color="auto" w:fill="auto"/>
        <w:vertAlign w:val="baseline"/>
      </w:rPr>
    </w:lvl>
    <w:lvl w:ilvl="4">
      <w:start w:val="1"/>
      <w:numFmt w:val="bullet"/>
      <w:lvlText w:val="o"/>
      <w:lvlJc w:val="left"/>
      <w:pPr>
        <w:ind w:left="3580" w:hanging="3580"/>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5">
      <w:start w:val="1"/>
      <w:numFmt w:val="bullet"/>
      <w:lvlText w:val="▪"/>
      <w:lvlJc w:val="left"/>
      <w:pPr>
        <w:ind w:left="4300" w:hanging="4300"/>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6">
      <w:start w:val="1"/>
      <w:numFmt w:val="bullet"/>
      <w:lvlText w:val="•"/>
      <w:lvlJc w:val="left"/>
      <w:pPr>
        <w:ind w:left="5020" w:hanging="5020"/>
      </w:pPr>
      <w:rPr>
        <w:rFonts w:ascii="Arial" w:eastAsia="Arial" w:hAnsi="Arial" w:cs="Arial"/>
        <w:b w:val="0"/>
        <w:i w:val="0"/>
        <w:strike w:val="0"/>
        <w:color w:val="000000"/>
        <w:sz w:val="18"/>
        <w:szCs w:val="18"/>
        <w:u w:val="none"/>
        <w:shd w:val="clear" w:color="auto" w:fill="auto"/>
        <w:vertAlign w:val="baseline"/>
      </w:rPr>
    </w:lvl>
    <w:lvl w:ilvl="7">
      <w:start w:val="1"/>
      <w:numFmt w:val="bullet"/>
      <w:lvlText w:val="o"/>
      <w:lvlJc w:val="left"/>
      <w:pPr>
        <w:ind w:left="5740" w:hanging="5740"/>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8">
      <w:start w:val="1"/>
      <w:numFmt w:val="bullet"/>
      <w:lvlText w:val="▪"/>
      <w:lvlJc w:val="left"/>
      <w:pPr>
        <w:ind w:left="6460" w:hanging="6460"/>
      </w:pPr>
      <w:rPr>
        <w:rFonts w:ascii="Quattrocento Sans" w:eastAsia="Quattrocento Sans" w:hAnsi="Quattrocento Sans" w:cs="Quattrocento Sans"/>
        <w:b w:val="0"/>
        <w:i w:val="0"/>
        <w:strike w:val="0"/>
        <w:color w:val="000000"/>
        <w:sz w:val="18"/>
        <w:szCs w:val="18"/>
        <w:u w:val="none"/>
        <w:shd w:val="clear" w:color="auto" w:fill="auto"/>
        <w:vertAlign w:val="baseline"/>
      </w:rPr>
    </w:lvl>
  </w:abstractNum>
  <w:abstractNum w:abstractNumId="14" w15:restartNumberingAfterBreak="0">
    <w:nsid w:val="32D43307"/>
    <w:multiLevelType w:val="multilevel"/>
    <w:tmpl w:val="91FCFDF6"/>
    <w:lvl w:ilvl="0">
      <w:start w:val="4"/>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D543D6"/>
    <w:multiLevelType w:val="multilevel"/>
    <w:tmpl w:val="6D62A176"/>
    <w:lvl w:ilvl="0">
      <w:start w:val="10"/>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31DAF"/>
    <w:multiLevelType w:val="multilevel"/>
    <w:tmpl w:val="EE4C620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7AB4B77"/>
    <w:multiLevelType w:val="multilevel"/>
    <w:tmpl w:val="BC34A1D2"/>
    <w:lvl w:ilvl="0">
      <w:start w:val="5"/>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B27058"/>
    <w:multiLevelType w:val="multilevel"/>
    <w:tmpl w:val="41E0B700"/>
    <w:lvl w:ilvl="0">
      <w:start w:val="7"/>
      <w:numFmt w:val="decimal"/>
      <w:lvlText w:val="%1."/>
      <w:lvlJc w:val="left"/>
      <w:pPr>
        <w:ind w:left="360" w:hanging="360"/>
      </w:pPr>
    </w:lvl>
    <w:lvl w:ilvl="1">
      <w:start w:val="7"/>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3429B7"/>
    <w:multiLevelType w:val="multilevel"/>
    <w:tmpl w:val="2CDAF2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512366A7"/>
    <w:multiLevelType w:val="multilevel"/>
    <w:tmpl w:val="B27A70EC"/>
    <w:lvl w:ilvl="0">
      <w:start w:val="1"/>
      <w:numFmt w:val="upperRoman"/>
      <w:lvlText w:val="%1."/>
      <w:lvlJc w:val="left"/>
      <w:pPr>
        <w:ind w:left="720" w:hanging="72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1" w15:restartNumberingAfterBreak="0">
    <w:nsid w:val="515E58E4"/>
    <w:multiLevelType w:val="hybridMultilevel"/>
    <w:tmpl w:val="DAD80B2C"/>
    <w:lvl w:ilvl="0" w:tplc="E0F6B73C">
      <w:start w:val="5"/>
      <w:numFmt w:val="bullet"/>
      <w:lvlText w:val="-"/>
      <w:lvlJc w:val="left"/>
      <w:pPr>
        <w:tabs>
          <w:tab w:val="num" w:pos="1300"/>
        </w:tabs>
        <w:ind w:left="1300" w:hanging="360"/>
      </w:pPr>
      <w:rPr>
        <w:rFonts w:ascii="Times New Roman" w:eastAsia="Times New Roman" w:hAnsi="Times New Roman" w:cs="Times New Roman"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2" w15:restartNumberingAfterBreak="0">
    <w:nsid w:val="53825942"/>
    <w:multiLevelType w:val="hybridMultilevel"/>
    <w:tmpl w:val="4A24B792"/>
    <w:lvl w:ilvl="0" w:tplc="616836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313AB"/>
    <w:multiLevelType w:val="hybridMultilevel"/>
    <w:tmpl w:val="EB640BBA"/>
    <w:lvl w:ilvl="0" w:tplc="E0F6B73C">
      <w:start w:val="5"/>
      <w:numFmt w:val="bullet"/>
      <w:lvlText w:val="-"/>
      <w:lvlJc w:val="left"/>
      <w:pPr>
        <w:tabs>
          <w:tab w:val="num" w:pos="830"/>
        </w:tabs>
        <w:ind w:left="830" w:hanging="360"/>
      </w:pPr>
      <w:rPr>
        <w:rFonts w:ascii="Times New Roman" w:eastAsia="Times New Roman" w:hAnsi="Times New Roman" w:cs="Times New Roman" w:hint="default"/>
      </w:rPr>
    </w:lvl>
    <w:lvl w:ilvl="1" w:tplc="04070003">
      <w:start w:val="1"/>
      <w:numFmt w:val="bullet"/>
      <w:lvlText w:val="o"/>
      <w:lvlJc w:val="left"/>
      <w:pPr>
        <w:tabs>
          <w:tab w:val="num" w:pos="1550"/>
        </w:tabs>
        <w:ind w:left="1550" w:hanging="360"/>
      </w:pPr>
      <w:rPr>
        <w:rFonts w:ascii="Courier New" w:hAnsi="Courier New" w:hint="default"/>
      </w:rPr>
    </w:lvl>
    <w:lvl w:ilvl="2" w:tplc="04070005" w:tentative="1">
      <w:start w:val="1"/>
      <w:numFmt w:val="bullet"/>
      <w:lvlText w:val=""/>
      <w:lvlJc w:val="left"/>
      <w:pPr>
        <w:tabs>
          <w:tab w:val="num" w:pos="2270"/>
        </w:tabs>
        <w:ind w:left="2270" w:hanging="360"/>
      </w:pPr>
      <w:rPr>
        <w:rFonts w:ascii="Wingdings" w:hAnsi="Wingdings" w:hint="default"/>
      </w:rPr>
    </w:lvl>
    <w:lvl w:ilvl="3" w:tplc="04070001" w:tentative="1">
      <w:start w:val="1"/>
      <w:numFmt w:val="bullet"/>
      <w:lvlText w:val=""/>
      <w:lvlJc w:val="left"/>
      <w:pPr>
        <w:tabs>
          <w:tab w:val="num" w:pos="2990"/>
        </w:tabs>
        <w:ind w:left="2990" w:hanging="360"/>
      </w:pPr>
      <w:rPr>
        <w:rFonts w:ascii="Symbol" w:hAnsi="Symbol" w:hint="default"/>
      </w:rPr>
    </w:lvl>
    <w:lvl w:ilvl="4" w:tplc="04070003" w:tentative="1">
      <w:start w:val="1"/>
      <w:numFmt w:val="bullet"/>
      <w:lvlText w:val="o"/>
      <w:lvlJc w:val="left"/>
      <w:pPr>
        <w:tabs>
          <w:tab w:val="num" w:pos="3710"/>
        </w:tabs>
        <w:ind w:left="3710" w:hanging="360"/>
      </w:pPr>
      <w:rPr>
        <w:rFonts w:ascii="Courier New" w:hAnsi="Courier New" w:hint="default"/>
      </w:rPr>
    </w:lvl>
    <w:lvl w:ilvl="5" w:tplc="04070005" w:tentative="1">
      <w:start w:val="1"/>
      <w:numFmt w:val="bullet"/>
      <w:lvlText w:val=""/>
      <w:lvlJc w:val="left"/>
      <w:pPr>
        <w:tabs>
          <w:tab w:val="num" w:pos="4430"/>
        </w:tabs>
        <w:ind w:left="4430" w:hanging="360"/>
      </w:pPr>
      <w:rPr>
        <w:rFonts w:ascii="Wingdings" w:hAnsi="Wingdings" w:hint="default"/>
      </w:rPr>
    </w:lvl>
    <w:lvl w:ilvl="6" w:tplc="04070001" w:tentative="1">
      <w:start w:val="1"/>
      <w:numFmt w:val="bullet"/>
      <w:lvlText w:val=""/>
      <w:lvlJc w:val="left"/>
      <w:pPr>
        <w:tabs>
          <w:tab w:val="num" w:pos="5150"/>
        </w:tabs>
        <w:ind w:left="5150" w:hanging="360"/>
      </w:pPr>
      <w:rPr>
        <w:rFonts w:ascii="Symbol" w:hAnsi="Symbol" w:hint="default"/>
      </w:rPr>
    </w:lvl>
    <w:lvl w:ilvl="7" w:tplc="04070003" w:tentative="1">
      <w:start w:val="1"/>
      <w:numFmt w:val="bullet"/>
      <w:lvlText w:val="o"/>
      <w:lvlJc w:val="left"/>
      <w:pPr>
        <w:tabs>
          <w:tab w:val="num" w:pos="5870"/>
        </w:tabs>
        <w:ind w:left="5870" w:hanging="360"/>
      </w:pPr>
      <w:rPr>
        <w:rFonts w:ascii="Courier New" w:hAnsi="Courier New" w:hint="default"/>
      </w:rPr>
    </w:lvl>
    <w:lvl w:ilvl="8" w:tplc="04070005" w:tentative="1">
      <w:start w:val="1"/>
      <w:numFmt w:val="bullet"/>
      <w:lvlText w:val=""/>
      <w:lvlJc w:val="left"/>
      <w:pPr>
        <w:tabs>
          <w:tab w:val="num" w:pos="6590"/>
        </w:tabs>
        <w:ind w:left="6590" w:hanging="360"/>
      </w:pPr>
      <w:rPr>
        <w:rFonts w:ascii="Wingdings" w:hAnsi="Wingdings" w:hint="default"/>
      </w:rPr>
    </w:lvl>
  </w:abstractNum>
  <w:abstractNum w:abstractNumId="24" w15:restartNumberingAfterBreak="0">
    <w:nsid w:val="5BA2254B"/>
    <w:multiLevelType w:val="multilevel"/>
    <w:tmpl w:val="BFC43F12"/>
    <w:lvl w:ilvl="0">
      <w:start w:val="2"/>
      <w:numFmt w:val="decimal"/>
      <w:lvlText w:val="%1"/>
      <w:lvlJc w:val="left"/>
      <w:pPr>
        <w:ind w:left="405" w:hanging="405"/>
      </w:pPr>
    </w:lvl>
    <w:lvl w:ilvl="1">
      <w:start w:val="2"/>
      <w:numFmt w:val="decimal"/>
      <w:lvlText w:val="%1.%2"/>
      <w:lvlJc w:val="left"/>
      <w:pPr>
        <w:ind w:left="403" w:hanging="405"/>
      </w:pPr>
    </w:lvl>
    <w:lvl w:ilvl="2">
      <w:start w:val="1"/>
      <w:numFmt w:val="decimal"/>
      <w:lvlText w:val="%1.%2.%3"/>
      <w:lvlJc w:val="left"/>
      <w:pPr>
        <w:ind w:left="716" w:hanging="720"/>
      </w:pPr>
      <w:rPr>
        <w:b/>
        <w:sz w:val="16"/>
        <w:szCs w:val="16"/>
      </w:rPr>
    </w:lvl>
    <w:lvl w:ilvl="3">
      <w:start w:val="1"/>
      <w:numFmt w:val="decimal"/>
      <w:lvlText w:val="%1.1.2.%4"/>
      <w:lvlJc w:val="left"/>
      <w:pPr>
        <w:ind w:left="714" w:hanging="720"/>
      </w:pPr>
      <w:rPr>
        <w:b/>
        <w:sz w:val="16"/>
        <w:szCs w:val="16"/>
      </w:rPr>
    </w:lvl>
    <w:lvl w:ilvl="4">
      <w:start w:val="1"/>
      <w:numFmt w:val="decimal"/>
      <w:lvlText w:val="%1.%2.%3.%4.%5"/>
      <w:lvlJc w:val="left"/>
      <w:pPr>
        <w:ind w:left="712" w:hanging="720"/>
      </w:pPr>
    </w:lvl>
    <w:lvl w:ilvl="5">
      <w:start w:val="1"/>
      <w:numFmt w:val="decimal"/>
      <w:lvlText w:val="%1.%2.%3.%4.%5.%6"/>
      <w:lvlJc w:val="left"/>
      <w:pPr>
        <w:ind w:left="1070" w:hanging="1080"/>
      </w:pPr>
    </w:lvl>
    <w:lvl w:ilvl="6">
      <w:start w:val="1"/>
      <w:numFmt w:val="decimal"/>
      <w:lvlText w:val="%1.%2.%3.%4.%5.%6.%7"/>
      <w:lvlJc w:val="left"/>
      <w:pPr>
        <w:ind w:left="1068" w:hanging="1080"/>
      </w:pPr>
    </w:lvl>
    <w:lvl w:ilvl="7">
      <w:start w:val="1"/>
      <w:numFmt w:val="decimal"/>
      <w:lvlText w:val="%1.%2.%3.%4.%5.%6.%7.%8"/>
      <w:lvlJc w:val="left"/>
      <w:pPr>
        <w:ind w:left="1426" w:hanging="1440"/>
      </w:pPr>
    </w:lvl>
    <w:lvl w:ilvl="8">
      <w:start w:val="1"/>
      <w:numFmt w:val="decimal"/>
      <w:lvlText w:val="%1.%2.%3.%4.%5.%6.%7.%8.%9"/>
      <w:lvlJc w:val="left"/>
      <w:pPr>
        <w:ind w:left="1424" w:hanging="1440"/>
      </w:pPr>
    </w:lvl>
  </w:abstractNum>
  <w:abstractNum w:abstractNumId="25" w15:restartNumberingAfterBreak="0">
    <w:nsid w:val="5DBD5A96"/>
    <w:multiLevelType w:val="multilevel"/>
    <w:tmpl w:val="E8523652"/>
    <w:lvl w:ilvl="0">
      <w:start w:val="1"/>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4F4AD8"/>
    <w:multiLevelType w:val="multilevel"/>
    <w:tmpl w:val="EB164E46"/>
    <w:lvl w:ilvl="0">
      <w:start w:val="10"/>
      <w:numFmt w:val="decimal"/>
      <w:lvlText w:val="%1."/>
      <w:lvlJc w:val="left"/>
      <w:pPr>
        <w:ind w:left="360" w:hanging="360"/>
      </w:pPr>
    </w:lvl>
    <w:lvl w:ilvl="1">
      <w:start w:val="8"/>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7123C9"/>
    <w:multiLevelType w:val="hybridMultilevel"/>
    <w:tmpl w:val="FA76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C3DCC"/>
    <w:multiLevelType w:val="hybridMultilevel"/>
    <w:tmpl w:val="11D8E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F3C21"/>
    <w:multiLevelType w:val="hybridMultilevel"/>
    <w:tmpl w:val="FD38F93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0" w15:restartNumberingAfterBreak="0">
    <w:nsid w:val="76253E75"/>
    <w:multiLevelType w:val="multilevel"/>
    <w:tmpl w:val="85A21574"/>
    <w:lvl w:ilvl="0">
      <w:start w:val="4"/>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775D1C"/>
    <w:multiLevelType w:val="multilevel"/>
    <w:tmpl w:val="90D0F94A"/>
    <w:lvl w:ilvl="0">
      <w:start w:val="1"/>
      <w:numFmt w:val="bullet"/>
      <w:lvlText w:val="🞂"/>
      <w:lvlJc w:val="left"/>
      <w:pPr>
        <w:ind w:left="715" w:hanging="360"/>
      </w:pPr>
      <w:rPr>
        <w:rFonts w:ascii="Noto Sans Symbols" w:eastAsia="Noto Sans Symbols" w:hAnsi="Noto Sans Symbols" w:cs="Noto Sans Symbols"/>
        <w:color w:val="97A822"/>
      </w:rPr>
    </w:lvl>
    <w:lvl w:ilvl="1">
      <w:start w:val="1"/>
      <w:numFmt w:val="bullet"/>
      <w:lvlText w:val="o"/>
      <w:lvlJc w:val="left"/>
      <w:pPr>
        <w:ind w:left="1435" w:hanging="360"/>
      </w:pPr>
      <w:rPr>
        <w:rFonts w:ascii="Courier New" w:eastAsia="Courier New" w:hAnsi="Courier New" w:cs="Courier New"/>
      </w:rPr>
    </w:lvl>
    <w:lvl w:ilvl="2">
      <w:start w:val="1"/>
      <w:numFmt w:val="bullet"/>
      <w:lvlText w:val="▪"/>
      <w:lvlJc w:val="left"/>
      <w:pPr>
        <w:ind w:left="2155" w:hanging="360"/>
      </w:pPr>
      <w:rPr>
        <w:rFonts w:ascii="Noto Sans Symbols" w:eastAsia="Noto Sans Symbols" w:hAnsi="Noto Sans Symbols" w:cs="Noto Sans Symbols"/>
      </w:rPr>
    </w:lvl>
    <w:lvl w:ilvl="3">
      <w:start w:val="1"/>
      <w:numFmt w:val="bullet"/>
      <w:lvlText w:val="●"/>
      <w:lvlJc w:val="left"/>
      <w:pPr>
        <w:ind w:left="2875" w:hanging="360"/>
      </w:pPr>
      <w:rPr>
        <w:rFonts w:ascii="Noto Sans Symbols" w:eastAsia="Noto Sans Symbols" w:hAnsi="Noto Sans Symbols" w:cs="Noto Sans Symbols"/>
      </w:rPr>
    </w:lvl>
    <w:lvl w:ilvl="4">
      <w:start w:val="1"/>
      <w:numFmt w:val="bullet"/>
      <w:lvlText w:val="o"/>
      <w:lvlJc w:val="left"/>
      <w:pPr>
        <w:ind w:left="3595" w:hanging="360"/>
      </w:pPr>
      <w:rPr>
        <w:rFonts w:ascii="Courier New" w:eastAsia="Courier New" w:hAnsi="Courier New" w:cs="Courier New"/>
      </w:rPr>
    </w:lvl>
    <w:lvl w:ilvl="5">
      <w:start w:val="1"/>
      <w:numFmt w:val="bullet"/>
      <w:lvlText w:val="▪"/>
      <w:lvlJc w:val="left"/>
      <w:pPr>
        <w:ind w:left="4315" w:hanging="360"/>
      </w:pPr>
      <w:rPr>
        <w:rFonts w:ascii="Noto Sans Symbols" w:eastAsia="Noto Sans Symbols" w:hAnsi="Noto Sans Symbols" w:cs="Noto Sans Symbols"/>
      </w:rPr>
    </w:lvl>
    <w:lvl w:ilvl="6">
      <w:start w:val="1"/>
      <w:numFmt w:val="bullet"/>
      <w:lvlText w:val="●"/>
      <w:lvlJc w:val="left"/>
      <w:pPr>
        <w:ind w:left="5035" w:hanging="360"/>
      </w:pPr>
      <w:rPr>
        <w:rFonts w:ascii="Noto Sans Symbols" w:eastAsia="Noto Sans Symbols" w:hAnsi="Noto Sans Symbols" w:cs="Noto Sans Symbols"/>
      </w:rPr>
    </w:lvl>
    <w:lvl w:ilvl="7">
      <w:start w:val="1"/>
      <w:numFmt w:val="bullet"/>
      <w:lvlText w:val="o"/>
      <w:lvlJc w:val="left"/>
      <w:pPr>
        <w:ind w:left="5755" w:hanging="360"/>
      </w:pPr>
      <w:rPr>
        <w:rFonts w:ascii="Courier New" w:eastAsia="Courier New" w:hAnsi="Courier New" w:cs="Courier New"/>
      </w:rPr>
    </w:lvl>
    <w:lvl w:ilvl="8">
      <w:start w:val="1"/>
      <w:numFmt w:val="bullet"/>
      <w:lvlText w:val="▪"/>
      <w:lvlJc w:val="left"/>
      <w:pPr>
        <w:ind w:left="6475" w:hanging="360"/>
      </w:pPr>
      <w:rPr>
        <w:rFonts w:ascii="Noto Sans Symbols" w:eastAsia="Noto Sans Symbols" w:hAnsi="Noto Sans Symbols" w:cs="Noto Sans Symbols"/>
      </w:rPr>
    </w:lvl>
  </w:abstractNum>
  <w:abstractNum w:abstractNumId="32" w15:restartNumberingAfterBreak="0">
    <w:nsid w:val="7F221AE6"/>
    <w:multiLevelType w:val="multilevel"/>
    <w:tmpl w:val="403214B8"/>
    <w:lvl w:ilvl="0">
      <w:start w:val="2"/>
      <w:numFmt w:val="decimal"/>
      <w:lvlText w:val="%1."/>
      <w:lvlJc w:val="left"/>
      <w:pPr>
        <w:ind w:left="360" w:hanging="360"/>
      </w:pPr>
    </w:lvl>
    <w:lvl w:ilvl="1">
      <w:start w:val="1"/>
      <w:numFmt w:val="decimal"/>
      <w:lvlText w:val="%1.%2."/>
      <w:lvlJc w:val="left"/>
      <w:pPr>
        <w:ind w:left="612" w:hanging="432"/>
      </w:pPr>
      <w:rPr>
        <w:b/>
        <w:sz w:val="20"/>
        <w:szCs w:val="20"/>
      </w:rPr>
    </w:lvl>
    <w:lvl w:ilvl="2">
      <w:start w:val="1"/>
      <w:numFmt w:val="decimal"/>
      <w:lvlText w:val="%1.%2.%3."/>
      <w:lvlJc w:val="left"/>
      <w:pPr>
        <w:ind w:left="1224" w:hanging="504"/>
      </w:pPr>
      <w:rPr>
        <w:rFonts w:ascii="Calibri" w:eastAsia="Calibri" w:hAnsi="Calibri" w:cs="Calibri"/>
        <w:b/>
        <w:sz w:val="16"/>
        <w:szCs w:val="16"/>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AE7DE6"/>
    <w:multiLevelType w:val="multilevel"/>
    <w:tmpl w:val="8B9C6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FB80C68"/>
    <w:multiLevelType w:val="hybridMultilevel"/>
    <w:tmpl w:val="4D1ED798"/>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num w:numId="1">
    <w:abstractNumId w:val="25"/>
  </w:num>
  <w:num w:numId="2">
    <w:abstractNumId w:val="8"/>
  </w:num>
  <w:num w:numId="3">
    <w:abstractNumId w:val="0"/>
  </w:num>
  <w:num w:numId="4">
    <w:abstractNumId w:val="7"/>
  </w:num>
  <w:num w:numId="5">
    <w:abstractNumId w:val="19"/>
  </w:num>
  <w:num w:numId="6">
    <w:abstractNumId w:val="3"/>
  </w:num>
  <w:num w:numId="7">
    <w:abstractNumId w:val="12"/>
  </w:num>
  <w:num w:numId="8">
    <w:abstractNumId w:val="5"/>
  </w:num>
  <w:num w:numId="9">
    <w:abstractNumId w:val="6"/>
  </w:num>
  <w:num w:numId="10">
    <w:abstractNumId w:val="2"/>
  </w:num>
  <w:num w:numId="11">
    <w:abstractNumId w:val="30"/>
  </w:num>
  <w:num w:numId="12">
    <w:abstractNumId w:val="18"/>
  </w:num>
  <w:num w:numId="13">
    <w:abstractNumId w:val="33"/>
  </w:num>
  <w:num w:numId="14">
    <w:abstractNumId w:val="14"/>
  </w:num>
  <w:num w:numId="15">
    <w:abstractNumId w:val="17"/>
  </w:num>
  <w:num w:numId="16">
    <w:abstractNumId w:val="20"/>
  </w:num>
  <w:num w:numId="17">
    <w:abstractNumId w:val="16"/>
  </w:num>
  <w:num w:numId="18">
    <w:abstractNumId w:val="4"/>
  </w:num>
  <w:num w:numId="19">
    <w:abstractNumId w:val="32"/>
  </w:num>
  <w:num w:numId="20">
    <w:abstractNumId w:val="13"/>
  </w:num>
  <w:num w:numId="21">
    <w:abstractNumId w:val="31"/>
  </w:num>
  <w:num w:numId="22">
    <w:abstractNumId w:val="9"/>
  </w:num>
  <w:num w:numId="23">
    <w:abstractNumId w:val="26"/>
  </w:num>
  <w:num w:numId="24">
    <w:abstractNumId w:val="15"/>
  </w:num>
  <w:num w:numId="25">
    <w:abstractNumId w:val="24"/>
  </w:num>
  <w:num w:numId="26">
    <w:abstractNumId w:val="34"/>
  </w:num>
  <w:num w:numId="27">
    <w:abstractNumId w:val="29"/>
  </w:num>
  <w:num w:numId="28">
    <w:abstractNumId w:val="23"/>
  </w:num>
  <w:num w:numId="29">
    <w:abstractNumId w:val="22"/>
  </w:num>
  <w:num w:numId="30">
    <w:abstractNumId w:val="27"/>
  </w:num>
  <w:num w:numId="31">
    <w:abstractNumId w:val="11"/>
  </w:num>
  <w:num w:numId="32">
    <w:abstractNumId w:val="1"/>
  </w:num>
  <w:num w:numId="33">
    <w:abstractNumId w:val="28"/>
  </w:num>
  <w:num w:numId="34">
    <w:abstractNumId w:val="2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B70"/>
    <w:rsid w:val="001F1B70"/>
    <w:rsid w:val="00462CCB"/>
    <w:rsid w:val="004B01CE"/>
    <w:rsid w:val="005D2C78"/>
    <w:rsid w:val="00692659"/>
    <w:rsid w:val="00811E40"/>
    <w:rsid w:val="00863088"/>
    <w:rsid w:val="00A06ED9"/>
    <w:rsid w:val="00D67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4AB8"/>
  <w15:docId w15:val="{A7CD13C3-FBC7-4BB6-99C4-3C24CDED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US" w:eastAsia="zh-CN" w:bidi="ar-SA"/>
      </w:rPr>
    </w:rPrDefault>
    <w:pPrDefault>
      <w:pPr>
        <w:spacing w:after="200" w:line="25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hd w:val="clear" w:color="auto" w:fill="92D050"/>
      <w:spacing w:after="162" w:line="259" w:lineRule="auto"/>
      <w:outlineLvl w:val="0"/>
    </w:pPr>
    <w:rPr>
      <w:b/>
      <w:color w:val="000000"/>
      <w:sz w:val="24"/>
      <w:szCs w:val="24"/>
    </w:rPr>
  </w:style>
  <w:style w:type="paragraph" w:styleId="Heading2">
    <w:name w:val="heading 2"/>
    <w:basedOn w:val="Normal"/>
    <w:next w:val="Normal"/>
    <w:uiPriority w:val="9"/>
    <w:unhideWhenUsed/>
    <w:qFormat/>
    <w:pPr>
      <w:keepNext/>
      <w:spacing w:before="240" w:after="60"/>
      <w:outlineLvl w:val="1"/>
    </w:pPr>
    <w:rPr>
      <w:rFonts w:ascii="Calibri" w:eastAsia="Calibri" w:hAnsi="Calibri" w:cs="Calibri"/>
      <w:b/>
      <w:smallCaps/>
      <w:sz w:val="22"/>
      <w:szCs w:val="22"/>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pBdr>
        <w:top w:val="nil"/>
        <w:left w:val="nil"/>
        <w:bottom w:val="nil"/>
        <w:right w:val="nil"/>
        <w:between w:val="nil"/>
      </w:pBdr>
      <w:spacing w:line="240" w:lineRule="auto"/>
    </w:pPr>
    <w:rPr>
      <w:b/>
      <w:smallCaps/>
      <w:color w:val="000000"/>
    </w:rPr>
  </w:style>
  <w:style w:type="table" w:customStyle="1" w:styleId="a">
    <w:basedOn w:val="TableNormal"/>
    <w:pPr>
      <w:spacing w:after="0" w:line="240" w:lineRule="auto"/>
    </w:pPr>
    <w:rPr>
      <w:sz w:val="22"/>
      <w:szCs w:val="22"/>
    </w:rPr>
    <w:tblPr>
      <w:tblStyleRowBandSize w:val="1"/>
      <w:tblStyleColBandSize w:val="1"/>
      <w:tblCellMar>
        <w:top w:w="9" w:type="dxa"/>
        <w:left w:w="4" w:type="dxa"/>
        <w:bottom w:w="100" w:type="dxa"/>
        <w:right w:w="55" w:type="dxa"/>
      </w:tblCellMar>
    </w:tblPr>
  </w:style>
  <w:style w:type="table" w:customStyle="1" w:styleId="a0">
    <w:basedOn w:val="TableNormal"/>
    <w:pPr>
      <w:spacing w:after="0" w:line="240" w:lineRule="auto"/>
    </w:pPr>
    <w:rPr>
      <w:sz w:val="22"/>
      <w:szCs w:val="22"/>
    </w:rPr>
    <w:tblPr>
      <w:tblStyleRowBandSize w:val="1"/>
      <w:tblStyleColBandSize w:val="1"/>
      <w:tblCellMar>
        <w:top w:w="9" w:type="dxa"/>
        <w:left w:w="4" w:type="dxa"/>
        <w:bottom w:w="100" w:type="dxa"/>
        <w:right w:w="55" w:type="dxa"/>
      </w:tblCellMar>
    </w:tblPr>
  </w:style>
  <w:style w:type="table" w:customStyle="1" w:styleId="a1">
    <w:basedOn w:val="TableNormal"/>
    <w:pPr>
      <w:spacing w:after="0" w:line="240" w:lineRule="auto"/>
    </w:pPr>
    <w:rPr>
      <w:sz w:val="22"/>
      <w:szCs w:val="22"/>
    </w:rPr>
    <w:tblPr>
      <w:tblStyleRowBandSize w:val="1"/>
      <w:tblStyleColBandSize w:val="1"/>
      <w:tblCellMar>
        <w:top w:w="9" w:type="dxa"/>
        <w:left w:w="4" w:type="dxa"/>
        <w:bottom w:w="100" w:type="dxa"/>
        <w:right w:w="55" w:type="dxa"/>
      </w:tblCellMar>
    </w:tblPr>
  </w:style>
  <w:style w:type="table" w:customStyle="1" w:styleId="a2">
    <w:basedOn w:val="TableNormal"/>
    <w:pPr>
      <w:spacing w:after="0" w:line="240" w:lineRule="auto"/>
    </w:pPr>
    <w:rPr>
      <w:sz w:val="22"/>
      <w:szCs w:val="22"/>
    </w:rPr>
    <w:tblPr>
      <w:tblStyleRowBandSize w:val="1"/>
      <w:tblStyleColBandSize w:val="1"/>
      <w:tblCellMar>
        <w:top w:w="29" w:type="dxa"/>
        <w:left w:w="14" w:type="dxa"/>
        <w:bottom w:w="29" w:type="dxa"/>
        <w:right w:w="55" w:type="dxa"/>
      </w:tblCellMar>
    </w:tblPr>
  </w:style>
  <w:style w:type="table" w:customStyle="1" w:styleId="a3">
    <w:basedOn w:val="TableNormal"/>
    <w:pPr>
      <w:spacing w:after="0" w:line="240" w:lineRule="auto"/>
    </w:pPr>
    <w:rPr>
      <w:sz w:val="22"/>
      <w:szCs w:val="22"/>
    </w:rPr>
    <w:tblPr>
      <w:tblStyleRowBandSize w:val="1"/>
      <w:tblStyleColBandSize w:val="1"/>
      <w:tblCellMar>
        <w:top w:w="9" w:type="dxa"/>
        <w:left w:w="4" w:type="dxa"/>
        <w:bottom w:w="100" w:type="dxa"/>
        <w:right w:w="55" w:type="dxa"/>
      </w:tblCellMar>
    </w:tblPr>
  </w:style>
  <w:style w:type="table" w:customStyle="1" w:styleId="a4">
    <w:basedOn w:val="TableNormal"/>
    <w:pPr>
      <w:spacing w:after="0" w:line="240" w:lineRule="auto"/>
    </w:pPr>
    <w:rPr>
      <w:sz w:val="22"/>
      <w:szCs w:val="22"/>
    </w:rPr>
    <w:tblPr>
      <w:tblStyleRowBandSize w:val="1"/>
      <w:tblStyleColBandSize w:val="1"/>
      <w:tblCellMar>
        <w:top w:w="9" w:type="dxa"/>
        <w:left w:w="4" w:type="dxa"/>
        <w:bottom w:w="100" w:type="dxa"/>
        <w:right w:w="55" w:type="dxa"/>
      </w:tblCellMar>
    </w:tblPr>
  </w:style>
  <w:style w:type="table" w:customStyle="1" w:styleId="a5">
    <w:basedOn w:val="TableNormal"/>
    <w:pPr>
      <w:spacing w:after="0" w:line="240" w:lineRule="auto"/>
    </w:pPr>
    <w:rPr>
      <w:sz w:val="22"/>
      <w:szCs w:val="22"/>
    </w:rPr>
    <w:tblPr>
      <w:tblStyleRowBandSize w:val="1"/>
      <w:tblStyleColBandSize w:val="1"/>
      <w:tblCellMar>
        <w:top w:w="29" w:type="dxa"/>
        <w:left w:w="43" w:type="dxa"/>
        <w:bottom w:w="29" w:type="dxa"/>
        <w:right w:w="55" w:type="dxa"/>
      </w:tblCellMar>
    </w:tblPr>
  </w:style>
  <w:style w:type="table" w:customStyle="1" w:styleId="a6">
    <w:basedOn w:val="TableNormal"/>
    <w:pPr>
      <w:spacing w:after="0" w:line="240" w:lineRule="auto"/>
    </w:pPr>
    <w:rPr>
      <w:sz w:val="22"/>
      <w:szCs w:val="22"/>
    </w:rPr>
    <w:tblPr>
      <w:tblStyleRowBandSize w:val="1"/>
      <w:tblStyleColBandSize w:val="1"/>
      <w:tblCellMar>
        <w:top w:w="9" w:type="dxa"/>
        <w:left w:w="4" w:type="dxa"/>
        <w:bottom w:w="100" w:type="dxa"/>
        <w:right w:w="55" w:type="dxa"/>
      </w:tblCellMar>
    </w:tblPr>
  </w:style>
  <w:style w:type="table" w:customStyle="1" w:styleId="a7">
    <w:basedOn w:val="TableNormal"/>
    <w:pPr>
      <w:spacing w:after="0" w:line="240" w:lineRule="auto"/>
    </w:pPr>
    <w:rPr>
      <w:sz w:val="22"/>
      <w:szCs w:val="22"/>
    </w:rPr>
    <w:tblPr>
      <w:tblStyleRowBandSize w:val="1"/>
      <w:tblStyleColBandSize w:val="1"/>
      <w:tblCellMar>
        <w:top w:w="9" w:type="dxa"/>
        <w:left w:w="4" w:type="dxa"/>
        <w:bottom w:w="100" w:type="dxa"/>
        <w:right w:w="55" w:type="dxa"/>
      </w:tblCellMar>
    </w:tblPr>
  </w:style>
  <w:style w:type="table" w:customStyle="1" w:styleId="a8">
    <w:basedOn w:val="TableNormal"/>
    <w:pPr>
      <w:spacing w:after="0" w:line="240" w:lineRule="auto"/>
    </w:pPr>
    <w:rPr>
      <w:sz w:val="22"/>
      <w:szCs w:val="22"/>
    </w:rPr>
    <w:tblPr>
      <w:tblStyleRowBandSize w:val="1"/>
      <w:tblStyleColBandSize w:val="1"/>
      <w:tblCellMar>
        <w:top w:w="9" w:type="dxa"/>
        <w:left w:w="4" w:type="dxa"/>
        <w:bottom w:w="100" w:type="dxa"/>
        <w:right w:w="55" w:type="dxa"/>
      </w:tblCellMar>
    </w:tblPr>
  </w:style>
  <w:style w:type="table" w:customStyle="1" w:styleId="a9">
    <w:basedOn w:val="TableNormal"/>
    <w:pPr>
      <w:spacing w:after="0" w:line="240" w:lineRule="auto"/>
    </w:pPr>
    <w:rPr>
      <w:sz w:val="22"/>
      <w:szCs w:val="22"/>
    </w:rPr>
    <w:tblPr>
      <w:tblStyleRowBandSize w:val="1"/>
      <w:tblStyleColBandSize w:val="1"/>
      <w:tblCellMar>
        <w:top w:w="9" w:type="dxa"/>
        <w:left w:w="4" w:type="dxa"/>
        <w:bottom w:w="100" w:type="dxa"/>
        <w:right w:w="55" w:type="dxa"/>
      </w:tblCellMar>
    </w:tblPr>
  </w:style>
  <w:style w:type="table" w:customStyle="1" w:styleId="aa">
    <w:basedOn w:val="TableNormal"/>
    <w:pPr>
      <w:spacing w:after="0" w:line="240" w:lineRule="auto"/>
    </w:pPr>
    <w:rPr>
      <w:sz w:val="22"/>
      <w:szCs w:val="22"/>
    </w:rPr>
    <w:tblPr>
      <w:tblStyleRowBandSize w:val="1"/>
      <w:tblStyleColBandSize w:val="1"/>
      <w:tblCellMar>
        <w:top w:w="9" w:type="dxa"/>
        <w:left w:w="4" w:type="dxa"/>
        <w:bottom w:w="100" w:type="dxa"/>
        <w:right w:w="55" w:type="dxa"/>
      </w:tblCellMar>
    </w:tblPr>
  </w:style>
  <w:style w:type="table" w:customStyle="1" w:styleId="ab">
    <w:basedOn w:val="TableNormal"/>
    <w:pPr>
      <w:spacing w:after="0" w:line="240" w:lineRule="auto"/>
    </w:pPr>
    <w:rPr>
      <w:sz w:val="22"/>
      <w:szCs w:val="22"/>
    </w:rPr>
    <w:tblPr>
      <w:tblStyleRowBandSize w:val="1"/>
      <w:tblStyleColBandSize w:val="1"/>
      <w:tblCellMar>
        <w:top w:w="9" w:type="dxa"/>
        <w:left w:w="4" w:type="dxa"/>
        <w:bottom w:w="100" w:type="dxa"/>
        <w:right w:w="55" w:type="dxa"/>
      </w:tblCellMar>
    </w:tblPr>
  </w:style>
  <w:style w:type="table" w:customStyle="1" w:styleId="ac">
    <w:basedOn w:val="TableNormal"/>
    <w:pPr>
      <w:spacing w:after="0" w:line="240" w:lineRule="auto"/>
    </w:pPr>
    <w:rPr>
      <w:sz w:val="22"/>
      <w:szCs w:val="22"/>
    </w:rPr>
    <w:tblPr>
      <w:tblStyleRowBandSize w:val="1"/>
      <w:tblStyleColBandSize w:val="1"/>
      <w:tblCellMar>
        <w:top w:w="9" w:type="dxa"/>
        <w:left w:w="4" w:type="dxa"/>
        <w:bottom w:w="100" w:type="dxa"/>
        <w:right w:w="55" w:type="dxa"/>
      </w:tblCellMar>
    </w:tblPr>
  </w:style>
  <w:style w:type="table" w:customStyle="1" w:styleId="ad">
    <w:basedOn w:val="TableNormal"/>
    <w:pPr>
      <w:spacing w:after="0" w:line="240" w:lineRule="auto"/>
    </w:pPr>
    <w:rPr>
      <w:sz w:val="22"/>
      <w:szCs w:val="22"/>
    </w:rPr>
    <w:tblPr>
      <w:tblStyleRowBandSize w:val="1"/>
      <w:tblStyleColBandSize w:val="1"/>
      <w:tblCellMar>
        <w:top w:w="9" w:type="dxa"/>
        <w:left w:w="4" w:type="dxa"/>
        <w:bottom w:w="100" w:type="dxa"/>
        <w:right w:w="55" w:type="dxa"/>
      </w:tblCellMar>
    </w:tblPr>
  </w:style>
  <w:style w:type="table" w:customStyle="1" w:styleId="ae">
    <w:basedOn w:val="TableNormal"/>
    <w:pPr>
      <w:spacing w:after="0" w:line="240" w:lineRule="auto"/>
    </w:pPr>
    <w:rPr>
      <w:sz w:val="22"/>
      <w:szCs w:val="22"/>
    </w:rPr>
    <w:tblPr>
      <w:tblStyleRowBandSize w:val="1"/>
      <w:tblStyleColBandSize w:val="1"/>
      <w:tblCellMar>
        <w:top w:w="9" w:type="dxa"/>
        <w:left w:w="4" w:type="dxa"/>
        <w:bottom w:w="100" w:type="dxa"/>
        <w:right w:w="55" w:type="dxa"/>
      </w:tblCellMar>
    </w:tblPr>
  </w:style>
  <w:style w:type="table" w:customStyle="1" w:styleId="af">
    <w:basedOn w:val="TableNormal"/>
    <w:pPr>
      <w:spacing w:after="0" w:line="240" w:lineRule="auto"/>
    </w:pPr>
    <w:rPr>
      <w:sz w:val="22"/>
      <w:szCs w:val="22"/>
    </w:rPr>
    <w:tblPr>
      <w:tblStyleRowBandSize w:val="1"/>
      <w:tblStyleColBandSize w:val="1"/>
      <w:tblCellMar>
        <w:top w:w="9" w:type="dxa"/>
        <w:left w:w="4" w:type="dxa"/>
        <w:bottom w:w="100" w:type="dxa"/>
        <w:right w:w="5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rPr>
      <w:sz w:val="22"/>
      <w:szCs w:val="22"/>
    </w:rPr>
    <w:tblPr>
      <w:tblStyleRowBandSize w:val="1"/>
      <w:tblStyleColBandSize w:val="1"/>
      <w:tblCellMar>
        <w:top w:w="9" w:type="dxa"/>
        <w:left w:w="4" w:type="dxa"/>
        <w:bottom w:w="100" w:type="dxa"/>
        <w:right w:w="5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7CA6"/>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67CA6"/>
    <w:rPr>
      <w:rFonts w:ascii="Segoe UI" w:hAnsi="Segoe UI" w:cs="Segoe UI"/>
    </w:rPr>
  </w:style>
  <w:style w:type="paragraph" w:styleId="ListParagraph">
    <w:name w:val="List Paragraph"/>
    <w:basedOn w:val="Normal"/>
    <w:uiPriority w:val="34"/>
    <w:qFormat/>
    <w:rsid w:val="00D67CA6"/>
    <w:pPr>
      <w:ind w:left="720"/>
      <w:contextualSpacing/>
    </w:pPr>
  </w:style>
  <w:style w:type="paragraph" w:customStyle="1" w:styleId="NoListPara">
    <w:name w:val="No List Para"/>
    <w:basedOn w:val="Normal"/>
    <w:rsid w:val="004B01CE"/>
    <w:pPr>
      <w:spacing w:after="0" w:line="240" w:lineRule="auto"/>
    </w:pPr>
    <w:rPr>
      <w:rFonts w:ascii="Cambria" w:eastAsia="Cambria" w:hAnsi="Cambria" w:cs="Times New Roman"/>
      <w:sz w:val="24"/>
      <w:szCs w:val="24"/>
      <w:lang w:eastAsia="en-US"/>
    </w:rPr>
  </w:style>
  <w:style w:type="paragraph" w:styleId="BodyText">
    <w:name w:val="Body Text"/>
    <w:basedOn w:val="Normal"/>
    <w:link w:val="BodyTextChar"/>
    <w:uiPriority w:val="99"/>
    <w:rsid w:val="004B01CE"/>
    <w:pPr>
      <w:spacing w:before="60" w:after="60" w:line="240" w:lineRule="auto"/>
    </w:pPr>
    <w:rPr>
      <w:rFonts w:eastAsia="Times New Roman" w:cs="Times New Roman"/>
      <w:sz w:val="20"/>
      <w:szCs w:val="24"/>
      <w:lang w:val="de-DE" w:eastAsia="de-DE"/>
    </w:rPr>
  </w:style>
  <w:style w:type="character" w:customStyle="1" w:styleId="BodyTextChar">
    <w:name w:val="Body Text Char"/>
    <w:basedOn w:val="DefaultParagraphFont"/>
    <w:link w:val="BodyText"/>
    <w:uiPriority w:val="99"/>
    <w:rsid w:val="004B01CE"/>
    <w:rPr>
      <w:rFonts w:eastAsia="Times New Roman" w:cs="Times New Roman"/>
      <w:sz w:val="20"/>
      <w:szCs w:val="24"/>
      <w:lang w:val="de-DE" w:eastAsia="de-DE"/>
    </w:rPr>
  </w:style>
  <w:style w:type="paragraph" w:customStyle="1" w:styleId="Default">
    <w:name w:val="Default"/>
    <w:rsid w:val="004B01CE"/>
    <w:pPr>
      <w:widowControl w:val="0"/>
      <w:autoSpaceDE w:val="0"/>
      <w:autoSpaceDN w:val="0"/>
      <w:adjustRightInd w:val="0"/>
      <w:spacing w:after="0" w:line="240" w:lineRule="auto"/>
    </w:pPr>
    <w:rPr>
      <w:rFonts w:eastAsia="Times New Roman"/>
      <w:color w:val="000000"/>
      <w:sz w:val="24"/>
      <w:szCs w:val="24"/>
      <w:lang w:eastAsia="en-US"/>
    </w:rPr>
  </w:style>
  <w:style w:type="character" w:styleId="LineNumber">
    <w:name w:val="line number"/>
    <w:basedOn w:val="DefaultParagraphFont"/>
    <w:uiPriority w:val="99"/>
    <w:semiHidden/>
    <w:unhideWhenUsed/>
    <w:rsid w:val="005D2C78"/>
  </w:style>
  <w:style w:type="character" w:styleId="Hyperlink">
    <w:name w:val="Hyperlink"/>
    <w:basedOn w:val="DefaultParagraphFont"/>
    <w:uiPriority w:val="99"/>
    <w:unhideWhenUsed/>
    <w:rsid w:val="00462CCB"/>
    <w:rPr>
      <w:color w:val="0000FF" w:themeColor="hyperlink"/>
      <w:u w:val="single"/>
    </w:rPr>
  </w:style>
  <w:style w:type="character" w:styleId="UnresolvedMention">
    <w:name w:val="Unresolved Mention"/>
    <w:basedOn w:val="DefaultParagraphFont"/>
    <w:uiPriority w:val="99"/>
    <w:semiHidden/>
    <w:unhideWhenUsed/>
    <w:rsid w:val="00462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lca.org/wp-content/uploads/ACLCA-ISO-21930-guidance-DRAFT-v2_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pa.gov/oem/docs/chem/caa112_rmp_factshee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epa.gov/air/criteria.html" TargetMode="External"/><Relationship Id="rId10" Type="http://schemas.openxmlformats.org/officeDocument/2006/relationships/hyperlink" Target="https://www.ul.com/offerings/product-category-rules-pc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pa.gov/region6/rc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32A59-6F71-4DA6-B970-ABDD0688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28</Pages>
  <Words>9567</Words>
  <Characters>54535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Lasso, Anna</cp:lastModifiedBy>
  <cp:revision>5</cp:revision>
  <dcterms:created xsi:type="dcterms:W3CDTF">2020-04-16T18:57:00Z</dcterms:created>
  <dcterms:modified xsi:type="dcterms:W3CDTF">2020-04-16T19:34:00Z</dcterms:modified>
</cp:coreProperties>
</file>